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D-2333/2010 vom 14. Juli 2011</w:t>
      </w:r>
    </w:p>
    <w:p>
      <w:r>
        <w:t>Bundesverwaltungsgericht, 2011-07-14, DE</w:t>
      </w:r>
    </w:p>
    <w:p>
      <w:r>
        <w:rPr>
          <w:b/>
        </w:rPr>
        <w:t xml:space="preserve">Quelle: </w:t>
      </w:r>
      <w:r>
        <w:t>https://mcp.opencaselaw.ch/entscheid/bvger_D-2333_2010</w:t>
      </w:r>
    </w:p>
    <w:p>
      <w:r>
        <w:t>FR: TAF D-2333/2010 du 14 juillet 2011</w:t>
      </w:r>
    </w:p>
    <w:p>
      <w:r>
        <w:t>IT: TAF D-2333/2010 del 14 luglio 2011</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 anderes bestimmt (Art. 37 VGG und Art. 6 AsylG).</w:t>
      </w:r>
    </w:p>
    <w:p>
      <w:r>
        <w:rPr>
          <w:b/>
        </w:rPr>
        <w:t>E. 1.3</w:t>
      </w:r>
    </w:p>
    <w:p>
      <w:r>
        <w:t>Die Beschwerde ist frist- und formgerecht eingereicht (Art. 108 Abs. 1 AsylG,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Wie bereits in der Zwischenverfügung vom 13. April 2010 dargelegt wurde, richtet sich die vorliegende Beschwerde sinngemäss lediglich gegen den vom BFM angeordneten Wegweisungsvollzug (Ziffern 4 und 5 des Dispositivs der vorinstanzlichen Verfügung). Demzufolge ist die Verfügung des BFM vom 4. März 2010, soweit sie die Frage der Flüchtlingseigenschaft und des Asyls betrifft (Dispositivziffern 1 und 2), in Rechtskraft erwachsen. Auch die Wegweisung an sich (Dispositivziffer 3) ist damit nicht mehr zu überprüfen. Im Folgenden ist daher lediglich zu untersuchen, ob die Vorinstanz den Wegweisungsvollzug zu Recht als durchführbar erachtet hat oder ob allenfalls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vormals im Bereich des Asylrechts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4.2</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w:t>
      </w:r>
    </w:p>
    <w:p>
      <w:r>
        <w:rPr>
          <w:b/>
        </w:rPr>
        <w:t>E. 4.3</w:t>
      </w:r>
    </w:p>
    <w:p>
      <w:r>
        <w:t>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S. 748, Entscheidungen und Mitteilungen der Schweizerischen Asylrekurskommission [EMARK] 2001 Nr. 1 E. 6a S. 2, EMARK 2006 Nr. 6 E. 4.2 S. 54 f.).</w:t>
      </w:r>
    </w:p>
    <w:p>
      <w:r>
        <w:rPr>
          <w:b/>
        </w:rPr>
        <w:t>E. 5.1</w:t>
      </w:r>
    </w:p>
    <w:p>
      <w:r>
        <w:t>Die Vorinstanz führte in der angefochtenen Verfügung zunächst aus, es hätten sich bereits aufgrund der Erstbefragung Zweifel an der angeblichen Minderjährigkeit des Beschwerdeführers ergeben, weshalb eine Knochenaltersanalyse in Auftrag gegeben worden sei. Diese habe ergeben, dass der Beschwerdeführer das 19. Altersjahr bereits erreicht habe. Die Abweichung zwischen dem angegebenen Alter und dem Alter gemäss der Knochenaltersbestimmung betrage somit rund drei Jahre. Auf Vorhalt dieses Ergebnisses habe der Beschwerdeführer ausgesagt, sein Vater habe ihm gesagt, er sei 16 Jahre alt. Dieser Einwand überzeuge jedoch nicht. Gegen die behauptete Minderjährigkeit spreche im Weiteren der Umstand, dass aufgrund der Angaben in der eingereichten Tazkirah davon auszugehen sei, der Beschwerdeführer sei im Jahr 1991 geboren worden, womit er im Zeitpunkt der Einreichung des Asylgesuchs rund 18 Jahre oder älter gewesen wäre. Im Übrigen weise auch das äussere Erscheinungsbild auf die Volljährigkeit des Beschwerdeführers hin. Aus diesen Umständen sei zu schliessen, dass der Beschwerdeführer zumindest im aktuellen Zeitpunkt (Erlass des Asylentscheids) volljährig sei. Bezüglich der Frage der Zumutbarkeit des Wegweisungsvollzugs erwog die Vorinstanz sodann Folgendes: Die allgemeine Sicherheitslage in Afghanistan sei zweifellos angespannt. Die aufständischen Kräfte hätten ihre Aktivitäten verstärkt und ihren Einfluss insbesondere in den südlichen und südöstlichen Provinzen sowie teilweise im Norden und Westen des Landes ausdehnen können. Die internationale Truppenpräsenz sei zahlenmässig zu schwach, um flächendeckend wirksam zu sein. In vielen Regionen seien zudem noch kaum funktionierende staatliche Strukturen vorhanden. Dennoch könne bezüglich Afghanistan nicht von einer konkreten Gefährdung der gesamten Bevölkerung respektive einer Situation allgemeiner Gewalt gesprochen werden. Trotz vereinzelter Anschläge sei nämlich die Lage in den nördlichen Provinzen Parwan, Baghlan, Takhar, Badakshan, Balkh, Sari Pul sowie in Kabul, in der westlichen Provinz Herat und in Bamiyan, der zentralen Provinz des Hazarajat, nach Einschätzung des Bundesamtes weiterhin als vergleichsweise sicher einzustufen. In diesen Regionen herrsche keine permanent instabile Situation, weshalb eine Wegweisung in diese Provinzen grundsätzlich zumutbar sei. Der Beschwerdeführer stamme aus der als unsicher eingestuften Provinz Parwan. Allerdings lebe ein Onkel des Beschwerdeführers sowie dessen Familie in Kabul. Der Beschwerdeführer habe sich bereits vor seiner Ausreise aus dem Heimatland einige Tage dort aufgehalten. Seinen Angaben zufolge hätten seine Mutter und seine Geschwister das Heimatdorf inzwischen ebenfalls verlassen und lebten nun bei diesem Onkel in Kabul. Daher sei davon auszugehen, dass der volljährige, junge und gesunde Beschwerdeführer bei einer Rückkehr nach Kabul dort ein familiäres Beziehungsnetz vorfinden würde, welches ihm den nötigen Rückhalt bieten könnte.</w:t>
      </w:r>
    </w:p>
    <w:p>
      <w:r>
        <w:rPr>
          <w:b/>
        </w:rPr>
        <w:t>E. 5.2</w:t>
      </w:r>
    </w:p>
    <w:p>
      <w:r>
        <w:t>In der Beschwerde wird zunächst Stelllung genommen zu den Ausführungen des BFM bezüglich des Alters. Der Beschwerdeführer macht dabei geltend, die Knochenaltersanalyse ermögliche keine wissenschaftlich zuverlässige Aussage über das Alter. Auch das äussere Erscheinungsbild lasse keine zuverlässigen diesbezüglichen Schlüsse zu. Im Weiteren habe ihn sein Vater bei der Ausstellung der Tazkirah absichtlich zwei Jahre älter gemacht. Zur Frage der Zumutbarkeit führte der Beschwerdeführer aus, er stamme aus der Provinz Wardak, welche auch vom BFM als unsicher eingestuft werde. Die Sicherheitslage in Afghanistan habe sich seit den einschlägigen Urteilen EMARK 2003 Nr. 10 sowie EMARK 2003 Nr. 30 jedoch allgemein weiter verschlechtert, und zwar auch in Kabul. Es müsse von einer Situation allgemeiner Gewalt ausgegangen werden. Im Januar 2008 habe ein Selbstmordattentäter einen Anschlag auf ein Hotel in Kabul verübt. Im Juli 2008 sei die indische Botschaft in Kabul Opfer eines Attentats geworden. UNHCR stufe das gesamte Gebiet der Provinzen Ghazni sowie Teile der Provinzen Kapisa, Kabul, Parwan und Daii Kundi als unsicher ein. Afghanistan gehöre zudem zu den am stärksten verminten Ländern der Welt. Die Taliban hätten nun auch Kabul infiltriert, Entführungen und Gewaltakte hätten drastisch zugenommen. Im heutigen Zeitpunkt sei eine Rückkehr nach Kabul nicht mehr zumutbar. Der Beschwerdeführer macht weiter geltend, er habe seit seiner Ankunft in der Schweiz nur sehr unregelmässigen Kontakt zu seiner Mutter und seinen Geschwistern gehabt. Sie seien nur für zwei oder drei Monate beim Onkel und dessen Familie in Kabul geblieben, danach seien sie weitergereist. Der Onkel habe eine Frau und vier Kinder und lebe in einem gemieteten Haus. Es sei gut möglich, dass es Probleme gegeben habe, da der Onkel weder genügend Platz noch ausreichend Essen für die Mutter und die Geschwister gehabt habe. Er habe zurzeit keine Informationen über den Verbleib seiner Familienangehörigen. Die Vorinstanz könne daher nicht einfach behaupten, er verfüge in Kabul über ein tragfähiges familiäres Beziehungsnetz. Wenn seine Familienangehörigen das Haus des Onkels hätten verlassen müssen, dann werde es auch ihm nicht möglich sein, dort zu wohnen. Somit sei für ihn in Kabul weder eine gesicherte Wohnsituation noch ein tragfähiges Beziehungsnetz vorhanden. Er könnte weder in Kabul noch in einer anderen Provinz seines Heimatlandes eine Existenzgrundlage aufbauen, weshalb die Rückkehr nach Afghanistan unzumutbar sei.</w:t>
      </w:r>
    </w:p>
    <w:p>
      <w:r>
        <w:rPr>
          <w:b/>
        </w:rPr>
        <w:t>E. 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Betreffend die allgemeine Lage in Afghanistan ist auf das kürzlich ergangene, zur Publikation vorgesehene Länderurteil BVGE E-7625/2008 vom 16. Juni 2011 zu verweisen.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existenbedrohende Situation geraten. Im Übrigen betone auch der (für Afghanistan zuständige) Schweizer Botschafter in Islamabad die vorrangige Bedeutung eines tragfähigen sozialen Netzes für einen Rückkehrer zur Vermeidung unüberbrückbarer Schwierigkeiten (vgl. E. 9.3 ff.).</w:t>
      </w:r>
    </w:p>
    <w:p>
      <w:r>
        <w:rPr>
          <w:b/>
        </w:rPr>
        <w:t>E. 6.3</w:t>
      </w:r>
    </w:p>
    <w:p>
      <w:r>
        <w:t>Beim Beschwerdeführer handelt es sich den Akten zufolge um einen afghanischen Staatsangehörigen, welcher aus dem Dorf B._______, Bezirk F._______, Provinz Wardak, stammt. Es besteht keine Veranlassung, an dieser Herkunftsangabe zu zweifeln. Gestützt auf die vorstehenden Ausführungen ist ein Wegweisungsvollzug dorthin von vornherein unzumutbar. Demnach bleibt zu prüfen, ob es dem Beschwerdeführer zumutbar wäre, sich im Sinne einer innerstaatlichen Aufenthaltsalternative in einer Grossstadt seines Heimatlandes (Kabul oder allenfalls auch Herat oder Mazar-i-Sharif; bezüglich der beiden letztgenannten Städte wurde die generelle Zumutbarkeit des Wegweisungsvollzugs im erwähnten Länderurteil jedoch nicht abschliessend beurteilt) niederzulassen. Anknüpfungspunkte bestehen in dieser Hinsicht nur in Bezug auf die Hauptstadt Kabul, da gemäss Aussagen des Beschwerdeführers ein Onkel mit seiner Familie dort lebt und er sich vor der Ausreise einige Tage bei diesem Onkel aufgehalten hat. Daraus kann allerdings nicht geschlossen werden, dass der Beschwerdeführer bei einer Ausschaffung nach Kabul dort ein tragfähiges Beziehungsnetz vorfinden würde. Den Akten zufolge lebt der fragliche Onkel in einem gemieteten Haus, zusammen mit seiner Frau, seinen vier Kindern und seinen Eltern. Sein Einkommen bezieht er aus dem Verkauf von Secondhand-Kleidern (vgl. A17 S. 4 und 7 sowie Beschwerdeeingabe S. 5). Mit Blick auf die Lebenssituation des Onkels erscheint es keineswegs gewährleistet, dass dieser den Beschwerdeführer über einen längeren Zeitraum hinweg beherbergen und unterstützen könnte. Gleichzeitig ist davon auszugehen, dass der Beschwerdeführer mit Blick auf seine dürftige Ausbildung (fünf Jahre Schule) und fehlende Arbeitserfahrung sowie unter Berücksichtigung der schwierigen Arbeitsmarktsituation in Kabul wohl Mühe haben dürfte, innert angemessener Frist eine Anstellung zu finden, mit welcher er sich seinen Lebensunterhalt selbständig verdienen könnte. Weitere Bezugspersonen, welche ihn bei einer Ausschaffung nach Kabul allenfalls unterstützen könnten, sind nicht aktenkundig. Die Familienangehörigen des Beschwerdeführers (Mutter und Geschwister) lebten gemäss den Angaben des Beschwerdeführers nur vorübergehend beim Onkel in Kabul und sind offenbar zurzeit unbekannten Aufenthalts. Insbesondere gibt es keine konkreten Hinweise dafür, dass sie sich anderswo in Kabul niedergelassen hätten.</w:t>
      </w:r>
    </w:p>
    <w:p>
      <w:r>
        <w:rPr>
          <w:b/>
        </w:rPr>
        <w:t>E. 6.4</w:t>
      </w:r>
    </w:p>
    <w:p>
      <w:r>
        <w:t>Zusammenfassend ist festzustellen, dass der Vollzug der Wegweisung des Beschwerdeführers nach Afghanistan im heutigen Zeitpunkt mit überwiegender Wahrscheinlichkeit eine konkrete Gefährdung zur Folge hätte und deshalb als unzumutbar im Sinne von Art. 83 Abs. 4 AuG zu qualifizieren ist. Bei dieser Sachlage kann die Frage der Minderjährigkeit des Beschwerdeführers offen gelassen werden.</w:t>
      </w:r>
    </w:p>
    <w:p>
      <w:r>
        <w:rPr>
          <w:b/>
        </w:rPr>
        <w:t>E. 7</w:t>
      </w:r>
    </w:p>
    <w:p>
      <w:r>
        <w:t>Nach dem Gesagten ist die Beschwerde gutzuheissen und die angefochtene Verfügung vom 4. März 2010 in Bezug auf den Wegweisungsvollzugspunkt (Dispositivziffern 4 und 5) aufzuheben. Nachdem den Akten keine Hinweise auf Ausschlussgründe im Sinne von Art. 83 Abs. 7 AuG entnommen werden können, ist das BFM anzuweisen, den Beschwerdeführer vorläufig aufzunehmen.</w:t>
      </w:r>
    </w:p>
    <w:p>
      <w:r>
        <w:rPr>
          <w:b/>
        </w:rPr>
        <w:t>E. 8.1</w:t>
      </w:r>
    </w:p>
    <w:p>
      <w:r>
        <w:t>Bei diesem Ausgang des Verfahrens sind keine Verfahrenskosten aufzuerlegen (Art. 63 Abs. 1 und 2 VwVG).</w:t>
      </w:r>
    </w:p>
    <w:p>
      <w:r>
        <w:rPr>
          <w:b/>
        </w:rPr>
        <w:t>E. 8.2</w:t>
      </w:r>
    </w:p>
    <w:p>
      <w:r>
        <w:t>Mangels anderweitiger Hinweise ist nicht davon auszugehen, dass dem nicht vertretenen Beschwerdeführer durch die Beschwerdeführung verhältnismässig hohe Kosten entstanden sind. Demnach ist dem obsiegenden Beschwerdeführer keine Parteientschädigung zuzusprechen (vgl.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