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D-2328/2022 vom 22. April 2022</w:t>
      </w:r>
    </w:p>
    <w:p>
      <w:r>
        <w:t>Bundesverwaltungsgericht, 2022-04-22, DE</w:t>
      </w:r>
    </w:p>
    <w:p>
      <w:r>
        <w:rPr>
          <w:b/>
        </w:rPr>
        <w:t xml:space="preserve">Quelle: </w:t>
      </w:r>
      <w:r>
        <w:t>https://mcp.opencaselaw.ch/entscheid/bvger_D-2328_2022_d20220422</w:t>
      </w:r>
    </w:p>
    <w:p>
      <w:r>
        <w:t>FR: TAF D-2328/2022 du 22 avril 2022</w:t>
      </w:r>
    </w:p>
    <w:p>
      <w:r>
        <w:t>IT: TAF D-2328/2022 del 22 aprile 2022</w:t>
      </w:r>
    </w:p>
    <w:p>
      <w:pPr>
        <w:pStyle w:val="Heading2"/>
      </w:pPr>
      <w:r>
        <w:t>Regeste</w:t>
      </w:r>
    </w:p>
    <w:p>
      <w:r>
        <w:t>Asyl und Wegweisung | Asyl und Wegweisung; Verfügung des SEM vom 22.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solche, weshalb das Urteil nur sum- marisch zu begründen ist (Art. 111a Abs. 2 AsylG). Gestützt auf Art. 111a Abs. 1 AsylG wurde auf die Durchführung eines Schriftenwechsels verzichtet.</w:t>
      </w:r>
    </w:p>
    <w:p>
      <w:r>
        <w:t>D-2328/2022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FK vorbehält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Entscheid im Wesentlichen damit, die Dienstpflicht allein sei nicht flüchtlingsrechtlich relevant, wenn die Streit- kräfte zur Bekämpfung eines innerstaatlichen Notstands eingesetzt wür- den. Die Wehrpflicht diene nämlich dazu, den Staat gegen Bedrohungen zu schützen, wobei das Militär zur Abwehr sowohl äusserer wie innerer An- griffe eingesetzt werden dürfe. Eine Stationierung im Osten der Türkei würde im Rahmen einer Verschiebung der Truppeneinheit in das Operati- onsgebiet erfolgen. Ein Zusammenhang zwischen Stationierungsort und</w:t>
      </w:r>
    </w:p>
    <w:p>
      <w:r>
        <w:t>D-2328/2022 Seite 6 der Ethnie lasse sich nicht herstellen, zumal die Einteilung in eine Truppen- einheit nach dem Zufallsprinzip vorgenommen werde. Ein Einsatz im Osten der Türkei, wie auch ein militärstrafrechtliches Vorgehen gegen Dienstver- säumnis, stelle somit keine flüchtlingsrechtlich relevante Massnahme im Sinne des Asylgesetzes dar. In der Türkei erfolge die militärische Einberu- fung einzig aufgrund der Staatsangehörigkeit und des Jahrgangs. Weder die ethnische noch die religiöse Zugehörigkeit würden dabei eine Rolle spielen. Aufgrund des Profils des Beschwerdeführers würden keine An- haltspunkte dafür vorliegen, dass er im Falle einer Bestrafung wegen Re- fraktion mit einem Politmalus zu rechnen hätte. Zum Vorbringen, als Ange- höriger der kurdischen Bevölkerung werde er von den türkischen Behörden schikaniert und benachteiligt hielt die Vorinstanz fest, es sei allgemein be- kannt, dass Angehörige der kurdischen Bevölkerung in der Türkei Schika- nen und Benachteiligungen verschiedenster Art ausgesetzt sein könnten. Dabei handle es sich aber nicht um ernsthafte Nachteile im Sinne des Asyl- gesetzes, die einen Verbleib im Heimatland verunmöglichen oder unzumut- bar machen würden. Gemäss gefestigter Praxis führe die allgemeine Situ- ation der kurdischen Bevölkerung in der Türkei nicht zur Anerkennung der Flüchtlingseigenschaft. Diese Einschätzung gelte auch nach dem Putsch- versuch im Juli 2016 und der sich allgemein verschlechternden Menschen- rechtslage in der Türkei weiterhin. Auch vorliegend würden die geltend ge- machten Schikanen nicht über die Nachteile hinausgehen, welche weite Teile der kurdischen Bevölkerung in ähnlicher Weise treffen könnten. Das- selbe gelte hinsichtlich der auf den sozialen Medien gegen den Beschwer- deführer geäusserten Beleidigungen. Seine Vorbringen seien somit nicht flüchtlingsrechtlich relevant.</w:t>
      </w:r>
    </w:p>
    <w:p>
      <w:r>
        <w:rPr>
          <w:b/>
        </w:rPr>
        <w:t>E. 5.2</w:t>
      </w:r>
    </w:p>
    <w:p>
      <w:r>
        <w:t>In seiner Rechtsmitteleingabe legte der Beschwerdeführer im Wesent- lichen dar, er lebe seit 2011 mit kleinen Unterbrüchen in der Ukraine. In- zwischen sei dieses Land seine Heimat geworden; er spreche russisch und ukrainisch und habe eine ukrainische Freundin. Er habe dort studiert und gearbeitet. Leider habe seine Freundin in der Ukraine bleiben müssen, um sich um ihre Mutter zu kümmern. Er habe eine tiefe Abneigung gegenüber Militär, Krieg und Gewalt. Allein der Gedanke daran verursache bei ihm psychische Schmerzen. Deshalb habe er nicht dortbleiben können. Und aus demselben Grund könne er nicht in der Türkei leben, wo ihm die Zwangsrekrutierung drohe. Dort würde er gezwungen werden, Uniform und Waffe zu tragen und würde als Dienstverweigerer strafrechtlich verfolgt. Auch könne er, entgegen der Argumentation des SEM, in der Türkei nicht mit seiner Partnerin zusammenleben. Diese sei Christin und verstehe die Sprache nicht. Sein sowie ihr Lebensmittelpunkt seien in der Ukraine,</w:t>
      </w:r>
    </w:p>
    <w:p>
      <w:r>
        <w:t>D-2328/2022 Seite 7 gerne wolle er das gemeinsame familiäre Leben in der freien Ukraine wei- terführen. Erste Schritte, um seinen Aufenthalt dort zu legalisieren und die Beziehung amtlich zu bestätigen hätten sie bereits unternommen, der Krieg habe jedoch ihre Pläne durchkreuzt. Er wolle die Möglichkeit haben, wie seine ukrainischen Freunde, die Lage in einem sicheren Umfeld ab- warten zu können. Eine Rückkehr in die Türkei wäre somit weder unter dem Aspekt der Sicherheit zumutbar noch mit dem Recht auf Familienle- ben vereinbar. Für ihn wäre es sicherer, in die Ukraine zurückzukehren als in die Türkei. Mit der Beschwerde reichte der Beschwerdeführer Kopien seines ukraini- schen Diploms für Architektur, eines Notenblattes sowie eines «Diploma Supplements» zu den Akten.</w:t>
      </w:r>
    </w:p>
    <w:p>
      <w:r>
        <w:rPr>
          <w:b/>
        </w:rPr>
        <w:t>E. 6.1</w:t>
      </w:r>
    </w:p>
    <w:p>
      <w:r>
        <w:t>Nach Prüfung der Akten kommt das Gericht zum Schluss, dass die Vo- rinstanz zu Recht und mit zutreffender Begründung festgestellt hat, dass sich aus den vom Beschwerdeführer genannten Gründen nicht auf eine begründete Furcht vor Verfolgung im Sinne von Art. 3 AsylG schliessen lässt. Zur Vermeidung von Wiederholungen kann auf die entsprechenden Erwägungen in der angefochtenen Verfügung verwiesen werden. Nament- lich kann einem allfälligen Einzug in den Militärdienst keine asylrechtliche Relevanz beigemessen werden. Die militärische Einberufung erfolgt in der Türkei aufgrund der Staatsangehörigkeit und des Jahrgangs des Betroffe- nen. Die ethnische Zugehörigkeit des Einberufenen spielt dabei keine Rolle (vgl. dazu etwa die Urteile des BVGer D- 3828/2017 vom 26. Januar 2018 E. 5.5 und D-572/2018 vom 22. Februar 2018 E. 4.6). Es kann nicht etwa davon gesprochen werden, die Türkei würde Kurden speziell gegen Ange- hörige der eigenen Ethnie einsetzen (vgl. dazu das Urteil des BVGer D- 3828/2017 a.a.O. E. 5.5). Wie das SEM zutreffend festgehalten hat, stellt auch eine allfällige Strafe wegen Refraktion oder Desertion gemäss konstanter Rechtsprechung grundsätzlich keine Verfolgung im Sinne von Art. 3 AsylG dar. Dafür, dass der Beschwerdeführer im Falle einer Bestra- fung mit einem Politmalus zu rechnen hätte, was als ernsthafter Nachteil gemäss Art. 3 Abs. 2 AsylG anzusehen wäre, liegen keine Anhaltspunkte vor (vgl. hierzu BVGE 2015/3 E. 5.9; Urteil des BVGer D-7303/2018 vom 16. Oktober 2019 E. 5.2.2). Betreffend seinem Vorbringen, auf den sozia- len Medien angegriffen worden zu sein, da er dort Inhalte der HDP publi- ziert habe, ist festzuhalten, dass zwar davon ausgegangen werden muss, dass die Aktivitäten kurdischer Exponentinnen und Exponenten eines ge- wissen Formats seitens der Türkei beobachtet werden. Dieser Umstand</w:t>
      </w:r>
    </w:p>
    <w:p>
      <w:r>
        <w:t>D-2328/2022 Seite 8 reicht indessen für sich allein genommen nicht aus, um eine tatsächliche Gefährdung im Falle der Rückkehr in die Türkei als hinreichend wahr- scheinlich erscheinen zu lassen. Vielmehr müssten konkrete Anhalts- punkte – nicht nur die abstrakte oder rein theoretische Möglichkeit – dafür vorliegen, dass der Beschwerdeführer tatsächlich das Interesse der hei- matlichen Behörden auf sich gezogen hätte. Massgebend ist dabei nicht primär das Hervortreten im Sinne einer optischen Erkennbarkeit und Indi- 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 kischen Regimes wird (vgl. beispielsweise das Urteil des BVGer D- 5125/2015 vom 30. Mai 2018 E. 9.3 m.w.H.). Um eine tatsächliche Gefähr- dung im Falle der Rückkehr in die Türkei als wahrscheinlich erscheinen zu lassen, müssen konkrete Anhaltspunkte dafür vorliegen, dass exilpolitisch aktive Staatsangehörige der Türkei tatsächlich das Interesse der heimatli- chen Behörden auf sich gezogen haben respektive als regimefeindliche Personen namentlich identifiziert und registriert wurden (vgl. beispiels- weise das Urteil des BVGer D-705/2018 vom 18. Februar 2019 E. 6.1.1 m.w.H.). Beim Beschwerdeführer ist dies offensichtlich nicht der Fall, wurde er doch lediglich von einer Privatperson angeschrieben. Ferner macht er keine besondere öffentliche Exponierung geltend. Es ist deshalb unwahr- scheinlich, dass seitens des türkischen Regimes ein besonderes Interesse an ihm bestehen könnte, da es sich bei ihm nicht um eine Person handelt, die mit Blick auf Art und Umfang ihrer exilpolitischen Tätigkeiten als beson- ders engagierter und exponierter Regimegegner aufgefallen sein könnte.</w:t>
      </w:r>
    </w:p>
    <w:p>
      <w:r>
        <w:rPr>
          <w:b/>
        </w:rPr>
        <w:t>E. 6.2</w:t>
      </w:r>
    </w:p>
    <w:p>
      <w:r>
        <w:t>Zusammenfassend ist festzuhalten, dass der Beschwerdeführer weder Vor- noch Nachfluchtgründe nachgewiesen oder zumindest glaubhaft ge- macht hat. Das SEM hat somit zu Recht sein Asylgesuch abgelehnt und die Flüchtlingseigenschaft verneint.</w:t>
      </w:r>
    </w:p>
    <w:p>
      <w:r>
        <w:rPr>
          <w:b/>
        </w:rPr>
        <w:t>E. 7</w:t>
      </w:r>
    </w:p>
    <w:p>
      <w:r>
        <w:t>Der Beschwerdeführer beantragt in seiner Beschwerde, ihm sei vorüber- gehender Schutz zu gewähren. Der Antrag wird nicht weiter begründet. Das Verfahren auf Gewährung vorübergehenden Schutzes wurde vom SEM am 29. März 2022 als gegenstandslos abgeschrieben. Dies nachdem der Beschwerdeführer – handelnd durch seinen damaligen Rechtsvertreter – am 22. März 2022 sein Gesuch um vorübergehenden Schutz zurückge- zogen und um Wiederaufnahme des Asylverfahrens ersucht hatte. Die Ge-</w:t>
      </w:r>
    </w:p>
    <w:p>
      <w:r>
        <w:t>D-2328/2022 Seite 9 währung vorübergehenden Schutzes ist somit nicht Gegenstand des vor- liegenden Beschwerdeverfahrens, weshalb auf den entsprechenden Sub- eventualantrag nicht einzutreten ist.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D-2328/2022 Seite 10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Gemäss konstanter Praxis ist in der Türkei nicht von einer flächende- ckenden Situation allgemeiner Gewalt oder bürgerkriegsähnlichen Verhält- nissen auszugehen – auch nicht in dem vorwiegend von Kurden besiedel- ten Osten und Südosten des Landes (vgl. Urteile des BVGer E-3042/2017 vom 28. Juli 2017 E. 6.2.2 sowie das Referenzurteil E-1948/2018 vom</w:t>
      </w:r>
    </w:p>
    <w:p>
      <w:r>
        <w:rPr>
          <w:b/>
        </w:rPr>
        <w:t>E. 9.3.2</w:t>
      </w:r>
    </w:p>
    <w:p>
      <w:r>
        <w:t>Auch die Ausführungen des SEM zur individuellen Zumutbarkeit einer Rückkehr in die Türkei sind nicht zu beanstanden. Der Beschwerdeführer verfügt über ein Architekturdiplom und ist Mitglied der türkischen Architek- tenkammer. Weiter verfügt er über vielseitige Arbeitserfahrung in der Bau- branche, im Gastgewerbe sowie als Dolmetscher. Es sollte ihm daher mög- lich sein, bei einer Rückkehr in die Türkei – allenfalls nach der Leistung seines Militärdienstes – eine Arbeit zu finden und für seinen Unterhalt zu sorgen. Im Übrigen verfügt er gemäss eigenen Angaben über ein grosses familiäres Netzwerk, auf welches er hinsichtlich seiner sozialen und wirt- schaftlichen Reintegration zurückgreifen kann. Auch die Partnerschaft mit einer ukrainischen Staatsangehörigen steht dem Wegweisungsvollzug nicht entgegen, zumal sich diese ohnehin nicht in der Schweiz aufhält. Der Wegweisungsvollzug ist somit auch unter Berücksichtigung seiner Her- kunft aus der Provinz Diarbakir sowie seines mehrjährigen Aufenthaltes in der Ukraine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Mit dem vorliegenden Urteil ist das Beschwerdeverfahren abge- schlossen, weshalb sich der Antrag auf Verzicht auf Erhebung eines Kos- tenvorschusses als gegenstandslos erweist.</w:t>
      </w:r>
    </w:p>
    <w:p>
      <w:r>
        <w:t>D-2328/2022 Seite 12 11.2 Das mit der Beschwerde gestellte Gesuch um Gewährung der unent- geltlichen Rechtspflege ist abzuweisen, da die Begehren – wie sich aus den vorstehenden Erwägungen ergibt – als aussichtlos zu bezeichnen wa- ren, weshalb die Voraussetzungen von Art. 65 Abs. 1 VwVG nicht erfüllt sind. 11.3 Bei diesem Verfahrensausgang sind die Kosten den Beschwerde- führenden aufzuerlegen (Art. 63 Abs. 1 VwVG) und auf insgesamt Fr. 750.− festzusetzen (Art. 1–3 und Art. 6a des Reglements vom 21. Feb- ruar 2008 über die Kosten und Entschädigungen vor dem Bundesverwal- tungsgericht [VGKE, SR 173.320.2]).</w:t>
      </w:r>
    </w:p>
    <w:p>
      <w:r>
        <w:t>(Dispositiv nächste Seite)</w:t>
      </w:r>
    </w:p>
    <w:p>
      <w:r>
        <w:t>D-2328/2022 Seite 13</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ist das Beschwerdeverfahren abgeschlossen, weshalb sich der Antrag auf Verzicht auf Erhebung eines Kostenvorschusses als gegenstandslos erweist.</w:t>
      </w:r>
    </w:p>
    <w:p>
      <w:r>
        <w:rPr>
          <w:b/>
        </w:rPr>
        <w:t>E. 11.2</w:t>
      </w:r>
    </w:p>
    <w:p>
      <w:r>
        <w:t>Das mit der Beschwerde gestellte Gesuch um Gewährung der unentgeltlichen Rechtspflege ist abzuweisen, da die Begehren - wie sich aus den vorstehenden Erwägungen ergibt - als aussichtlos zu bezeichnen waren, weshalb die Voraussetzungen von Art. 65 Abs. 1 VwVG nicht erfüllt sind.</w:t>
      </w:r>
    </w:p>
    <w:p>
      <w:r>
        <w:rPr>
          <w:b/>
        </w:rPr>
        <w:t>E. 11.3</w:t>
      </w:r>
    </w:p>
    <w:p>
      <w:r>
        <w:t>Bei diesem Verfahrensausgang sind die Kosten den Beschwerdeführenden aufzuerlegen (Art. 63 Abs. 1 VwVG) und auf insgesamt Fr. 750. festzusetzen (Art. 1-3 und Art. 6a des Reglements vom 21. Februar 2008 über die Kosten und Entschädigungen vor dem Bundesverwaltungsgericht [VGKE, SR 173.320.2]). (Dispositiv nächste Seite)</w:t>
      </w:r>
    </w:p>
    <w:p>
      <w:r>
        <w:rPr>
          <w:b/>
        </w:rPr>
        <w:t>E. 12</w:t>
      </w:r>
    </w:p>
    <w:p>
      <w:r>
        <w:t>Juni 2018 E. 7.3). Anders als beispielsweise Hakkari oder Sirnak (vgl. herzu weiterhin BVGE 2013/2) gehört die Provinz Diarbakir nicht zu jenen</w:t>
      </w:r>
    </w:p>
    <w:p>
      <w:r>
        <w:t>D-2328/2022 Seite 11 Gebieten, für die punktuell eine Situation allgemeiner Gewalt angenommen wird. Die allgemeine Sicherheitslage steht damit einem Vollzug der Weg- weisung der Beschwerdeführenden an ihren Herkunftsort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