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D-2327/2021 vom 18. November 2021</w:t>
      </w:r>
    </w:p>
    <w:p>
      <w:r>
        <w:t>Bundesverwaltungsgericht, 2021-11-18, DE</w:t>
      </w:r>
    </w:p>
    <w:p>
      <w:r>
        <w:rPr>
          <w:b/>
        </w:rPr>
        <w:t xml:space="preserve">Quelle: </w:t>
      </w:r>
      <w:r>
        <w:t>https://mcp.opencaselaw.ch/entscheid/bvger_D-2327_2021</w:t>
      </w:r>
    </w:p>
    <w:p>
      <w:r>
        <w:t>FR: TAF D-2327/2021 du 18 novembre 2021</w:t>
      </w:r>
    </w:p>
    <w:p>
      <w:r>
        <w:t>IT: TAF D-2327/2021 del 18 novembre 2021</w:t>
      </w:r>
    </w:p>
    <w:p>
      <w:pPr>
        <w:pStyle w:val="Heading2"/>
      </w:pPr>
      <w:r>
        <w:t>Regeste</w:t>
      </w:r>
    </w:p>
    <w:p>
      <w:r>
        <w:t>Nichteintreten auf Asylgesuch und Wegweisung (Dublin-Verfahren)</w:t>
      </w:r>
    </w:p>
    <w:p>
      <w:pPr>
        <w:pStyle w:val="Heading2"/>
      </w:pPr>
      <w:r>
        <w:t>Erwägungen</w:t>
      </w:r>
    </w:p>
    <w:p>
      <w:r>
        <w:rPr>
          <w:b/>
        </w:rPr>
        <w:t>E. 1</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sind zur Beschwerdeführung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In der Beschwerdeschrift wird geltend gemacht, die Vorinstanz habe den Sachverhalt nicht umfassend abgeklärt. Sie habe sich damit begnügt, betreffend die aktuellen Aufnahmebedingungen Schlüsse zu ziehen, ohne dabei die tatsächlichen Entwicklungen zu beachten.</w:t>
      </w:r>
    </w:p>
    <w:p>
      <w:r>
        <w:rPr>
          <w:b/>
        </w:rPr>
        <w:t>E. 3.2</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BVGE 2012/21 E. 5.1).</w:t>
      </w:r>
    </w:p>
    <w:p>
      <w:r>
        <w:rPr>
          <w:b/>
        </w:rPr>
        <w:t>E. 3.3</w:t>
      </w:r>
    </w:p>
    <w:p>
      <w:r>
        <w:t>Die Vorinstanz hat nachvollziehbar und hinreichend differenziert aufgezeigt, dass sie sich mit sämtlichen zentralen Vorbringen der Beschwerdeführenden sowie den Gesetzesänderungen in Italien auseinandergesetzt hat (vgl. A54/13 S. 3-7). Sie legte hinreichend klar dar, inwiefern sich die Rechtslage sowie die Aufnahmesituation von Familien in Italien seit dem Referenzurteil des BVGer vom 17. Dezember 2019 (E-962/2019) und im Anschluss an das Inkrafttreten des Dekrets 130/2020 entscheidend weiterentwickelt hat. Der blosse Umstand, dass die Beschwerdeführenden die Beurteilung der zitierten Quellen nicht teilen, stellt keine unvollständige Sachverhaltsfeststellung dar, sondern beschlägt die Frage der materiellen Würdigung. Folglich ist das Eventualbegehren, die Sache zur Feststellung des rechtserheblichen Sachverhalts an die Vorinstanz zurückzuweisen, abzuweisen.</w:t>
      </w:r>
    </w:p>
    <w:p>
      <w:r>
        <w:rPr>
          <w:b/>
        </w:rPr>
        <w:t>E. 4.1</w:t>
      </w:r>
    </w:p>
    <w:p>
      <w:r>
        <w:t>Auf Asylgesuche ist in der Regel nicht einzutreten,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w:t>
      </w:r>
    </w:p>
    <w:p>
      <w:r>
        <w:rPr>
          <w:b/>
        </w:rPr>
        <w:t>E. 4.3</w:t>
      </w:r>
    </w:p>
    <w:p>
      <w:r>
        <w:t>Ein Abgleich der Fingerabdrücke der Beschwerdeführenden mit der «Eurodac»-Datenbank ergab, dass der Beschwerdeführer A._______ bereits am 19. November 2020 in Italien daktyloskopisch erfasst wurde. Die Beschwerdeführerin B._______ wurde hingegen nicht registriert (vgl. A13/1 und A14/1). Die Beschwerdeführenden gaben jedoch übereinstimmend zu Protokoll, dass B._______ ebenfalls in Italien daktyloskopiert worden sei (vgl. A25/4 und A27/4). Die italienischen Behörden haben dem Übernahmeersuchen des SEM gestützt auf Art. 18 Abs. 1 Bst. b Dublin-III-VO am 5. Mai 2021 auch ausdrücklich entsprochen. Die grundsätzliche Zuständigkeit Italiens ist demnach gegeben und wird von den Beschwerdeführenden auch nicht bestritten.</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(EU-Grundrechtecharta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(BVGE 2015/9 E. 8.2.1).</w:t>
      </w:r>
    </w:p>
    <w:p>
      <w:r>
        <w:rPr>
          <w:b/>
        </w:rPr>
        <w:t>E. 6.1</w:t>
      </w:r>
    </w:p>
    <w:p>
      <w:r>
        <w:t>Die Vorinstanz begründet ihren Nichteintretensentscheid im Wesentlichen damit, dass mit Inkrafttreten des Gesetztes Nr. 173/2020 am 20. Dezember 2020 das italienische Aufnahmesystem für Asylsuchende und Personen mit internationalem Schutzstatus weitreichend reformiert worden sei. Zudem habe das italienische Dublin Office mit Rundschreiben vom 8. Februar 2021 allen Dublin-Mitgliedstaaten garantiert, dass Familien mit minderjährigen Kindern in familiengerechten Strukturen untergebracht und die Einheit der Familie gewahrt würde. Insgesamt hätten sich die Rechtslage und die Aufnahmesituation in Italien entscheidend weiterentwickelt, womit die seit dem Referenzurteil des Bundesverwaltungsgerichts E-962/2019 vom 17. Dezember 2019 zusätzlich einzuholenden Garantien obsolet geworden seien. Es gebe keine Gründe für die Ausübung des Selbsteintrittsrechts. Dem Ersuchen um Übernahme der Beschwerdeführenden hätten die italienischen Behörden sodann auch ausdrücklich zugestimmt.</w:t>
      </w:r>
    </w:p>
    <w:p>
      <w:r>
        <w:rPr>
          <w:b/>
        </w:rPr>
        <w:t>E. 6.2</w:t>
      </w:r>
    </w:p>
    <w:p>
      <w:r>
        <w:t>Die Beschwerdeführenden halten dem in der Beschwerdeschrift entgegen, das italienische Asylsystem und die Aufnahmestrukturen seien nicht in der Lage, sie (die Beschwerdeführenden) als Familie mit einem Kleinkind adäquat unterzubringen. Demnach sei nicht von den gemäss bisheriger Rechtsprechung geforderten individuellen Garantien abzurücken. Bei einer Überstellung bestehe somit das Risiko der Verletzung von Art. 3 EMRK sowie der Kinderrechtskonvention, womit die Anwendung der Souveränitätsklausel angezeigt sei.</w:t>
      </w:r>
    </w:p>
    <w:p>
      <w:r>
        <w:rPr>
          <w:b/>
        </w:rPr>
        <w:t>E. 6.3</w:t>
      </w:r>
    </w:p>
    <w:p>
      <w:r>
        <w:t>In der Vernehmlassung führte die Vorinstanz aus, die Einwände der Beschwerdeführenden im Zusammenhang mit den Aufnahmebedingungen in Italien seien allgemeiner Natur und würden nicht auf eigenen Erfahrungen beruhen.</w:t>
      </w:r>
    </w:p>
    <w:p>
      <w:r>
        <w:rPr>
          <w:b/>
        </w:rPr>
        <w:t>E. 6.4</w:t>
      </w:r>
    </w:p>
    <w:p>
      <w:r>
        <w:t>Dem hielten die Beschwerdeführenden in ihrer Replik entgegen, die Probleme des Aufnahmesystems in Italien seien flächendeckender Natur, weshalb sie (die Beschwerdeführenden) als Familie von diesen prekären Bedingungen durchaus betroffen seien.</w:t>
      </w:r>
    </w:p>
    <w:p>
      <w:r>
        <w:rPr>
          <w:b/>
        </w:rPr>
        <w:t>E. 7.1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Es darf davon ausgegangen werden, dass Italien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Das italienische Asylverfahren und Aufnahmesystem weist demnach keine systemischen Mängel auf. Diese Ansicht wird durch den EGMR bestätigt (vgl. Urteile des EGMR Mohammed Hussein und andere gegen die Niederlande und Italien vom 2. April 2013, Nr. 27725/10, Ziff. 78; Tarakhel gegen die Schweiz vom 4. November 2014, Nr. 29217/12, Ziff. 114 f.; S.M.H. gegen die Niederlande vom 17. Mai 2016, Nr. 5868/13, Ziff. 46). Das Bundesverwaltungsgericht hat die Lage von asylsuchenden Familien in Italien im Hinblick auf die Durchführung von Überstellungen im Rahmen des Dublin-Verfahrens sodann auch mittels eines länderspezifischen Koordinationsentscheids einer eingehenden Prüfung unterzogen. Es gelangte im Wesentlichen zur Einschätzung, dass keine Gründe für die Annahme vorliegen, das Asylverfahren und die Aufnahmebedingungen für Asylsuchende in Italien würden systemische Mängel aufweisen, weshalb Art. 3 Abs. 2 Dublin-III-VO nicht zur Anwendung kommt (Referenzurteil des BVGer F-6330/2020 vom 18. Oktober 2021 E. 9.1 m.w.H.).</w:t>
      </w:r>
    </w:p>
    <w:p>
      <w:r>
        <w:rPr>
          <w:b/>
        </w:rPr>
        <w:t>E. 7.2.1</w:t>
      </w:r>
    </w:p>
    <w:p>
      <w:r>
        <w:t>Die Beschwerdeführenden gehören als Familie mit einem Kleinkind zu den schutzbedürftigen Personen gemäss Tarakhel-Urteil (vgl. Urteil des EGMR Tarakhel gegen die Schweiz vom 4. November 2014, Nr. 29217/12). Ihre Überstellung nach Italien ist folglich nur zulässig, wenn von den italienischen Behörden eine ausreichende Garantie für eine kindgerechte und die Einheit der Familie wahrende Unterbringung vorliegt. Mit dem Erlass des Salvini-Dekrets wurde Asylsuchenden, auch Familien, der Zugang zum Zweitaufnahmesystem verwehrt; ihnen standen nur die grösseren Kollektivzentren der Erstaufnahme oder temporäre Einrichtungen offen. In der Folge stufte das Bundesverwaltungsgericht das Formular "nucleo familiare" und die italienischen Rundschreiben zu den Unterbringungsplätzen als ungenügende Garantien für eine familiengerechte Unterbringung ein (vgl. Referenzurteil des BVGer E-962/2019 vom 17. Dezember 2019).</w:t>
      </w:r>
    </w:p>
    <w:p>
      <w:r>
        <w:rPr>
          <w:b/>
        </w:rPr>
        <w:t>E. 7.2.2</w:t>
      </w:r>
    </w:p>
    <w:p>
      <w:r>
        <w:t>Die Rechts- und Sachlage in Italien hat seither wesentliche Änderungen erfahren. Mit Rundschreiben vom 8. Februar 2021 informierten die italienischen Behörden die Dublin-Staaten über das Inkrafttreten des Gesetzesdekrets Nr. 130/2020 am 20. Dezember 2020 und die Schaffung des Aufnahme- und Integrationssystems SAI. Sie garantierten, dass Familien mit minderjährigen Kindern, die im Rahmen des Dublin-Verfahrens nach Italien überstellt werden, im SAI-System unter Wahrung der Einheit der Familie und in Übereinstimmung mit dem Tarakhel-Urteil untergebracht würden. Demnach seien durch die umfassende Reform des Aufnahmesystems für Asylsuchende in Italien, zentrale Bestimmungen des Salvini-Dekrets geändert und ein engverflochtenes Aufnahme- und Integrationssystem implementiert worden, vergleichbar mit dem Aufnahmesystem, das vor Erlass des Salvini-Dekrets geherrscht habe. Das SAI stehe wieder allen Asylsuchenden, also auch den im Rahmen des Dublin-Verfahrens nach Italien überstellten Personen, offen, was auch vom EGMR festgehalten werde. Zudem sei die mittels des Formulars "nucleo familiare" unter Namens- und Altersangaben abgegebene Anerkennung der Familieneinheit und Zusicherung einer familiengerechten Unterbringung sowie die Rundschreiben, welche eine Unterbringung im Zweitaufnahmesystem SAI zusicherten, als hinreichend konkretisierte und individualisierte Zusicherungen im Sinne der Rechtsprechung des Bundesverwaltungsgerichts und des EGMR zu werten (vgl. Referenzurteil des BVGer F-6330/2020 vom 18. Oktober 2021 E. 10 und 11).</w:t>
      </w:r>
    </w:p>
    <w:p>
      <w:r>
        <w:rPr>
          <w:b/>
        </w:rPr>
        <w:t>E. 7.3</w:t>
      </w:r>
    </w:p>
    <w:p>
      <w:r>
        <w:t>Die Beschwerdeführenden haben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w:t>
      </w:r>
    </w:p>
    <w:p>
      <w:r>
        <w:rPr>
          <w:b/>
        </w:rPr>
        <w:t>E. 7.4</w:t>
      </w:r>
    </w:p>
    <w:p>
      <w:r>
        <w:t>Zudem haben die italienischen Behörden im Formular "nucleo familiare" vom 5. Mai 2021 Vor- und Nachnamen, Geburtsdaten und Nationalität der Beschwerdeführenden sowie ihres Sohnes aufgeführt und die Übernahme bestätigt, dies mit der auf das Rundschreiben vom 8. Februar 2021 gestützten ausdrücklichen Zusicherung, dass die Beschwerdeführenden als Familie in einem der Aufnahmezentren untergebracht würden unter Berücksichtigung des Alters des Kindes und der Wahrung der Einheit der Familie (vgl. A50/1). Es liegt somit eine genügend konkrete und individuelle Garantie der italienischen Behörden vor, aufgrund derer davon ausgegangen werden kann, dass die Beschwerdeführenden nach ihrer Überstellung in eine kindgerechte und die Einheit der Familie wahrende Unterkunft untergebracht werden. Folglich gibt es keinen Grund zur Annahme, die Überstellung der Beschwerdeführenden nach Italien würde zu einer Verletzung von Art. 3 EMRK führen. Diese Schlussfolgerung stützt der EGMR und hält fest, dass Familien auch bei einer vorübergehenden Unterbringung in einem Erstaufnahmezentrum Zugang zu den nötigen Dienstleistungen erhalten (vgl. Urteil des EGMR M.T. gegen die Niederlande vom 23. März 2021, 46595/19, Ziff. 55 ff.). Schliesslich ist zu berücksichtigen, dass es sich bei Italien um einen funktionierenden Rechtsstaat handelt, auf dessen Zusicherungen die Schweiz gemäss dem völkerrechtlichen Prinzip, dass die Staaten einen Vertrag, an den sie gebunden sind, nach Treu und Glauben zu erfüllen haben (vgl. Art. 26 des Wiener Übereinkommens vom 23. Mai 1969 über das Recht der Verträge [VRK, SR 0.111]), grundsätzlich vertrauen darf und soll. Aus diesem Prinzip folgt, dass ausser bei klar erkennbarem Rechtsmissbrauch oder bei Widersprüchen kein Anlass besteht, an den Sachverhaltsdarstellungen und Erklärungen anderer Staaten zu zweifeln (vgl. BGE 142 II 161 E. 2.1.3). Im vorliegenden Kontext ergibt sich daraus zudem, dass keine überhöhten Anforderungen an die Zusicherung gestellt werden dürfen, indem etwa verlangt würde, dass die Unterkunft genau benannt werde; dies wäre ohnehin kaum praktikabel (vgl. BVGE 2016/2 E. 5.2 und zum Ganzen Referenzurteil F-6330/2020 vom 18. Oktober 2021 E. 11.2). Auch besteht kein Grund zur Annahme, Italien würde den Beschwerdeführenden dauerhaft die ihnen gemäss Aufnahmerichtlinie zustehenden minimalen Lebensbedingungen vorenthalten. Bei einer allfälligen vorübergehenden Einschränkung könnten sie sich ohnehin an die italienischen Behörden wenden und die ihnen zustehenden Aufnahmebedingungen auf dem Rechtsweg einfordern (vgl. Art. 26 Aufnahmerichtlinie). Schliesslich vermögen die Beschwerdeführenden auch nicht darzulegen, inwiefern die Rechte ihres Kindes im Sinne der Kinderrechtskonvention bei einer Überstellung nach Italien nicht geschützt sein sollen. Wie bereits unter E. 7.1 hiervor dargelegt, hat Italien alle relevanten Abkommen und Richtlinien unterzeichnet und es kann davon ausgegangen werden, dass sich das Land an diese hält. Insbesondere ist den Akten kein Hinweis darauf zu entnehmen, dass das als wesentliches Element im Sinne des Kindeswohls zu berücksichtigende Bedürfnis, in möglichst engem Kontakt mit beiden Elternteilen aufwachsen zu können, in Italien nicht berücksichtigt werden und die Gefahr bestehen könnte, dass die Beschwerdeführenden von ihrem Sohn getrennt würden. Nach dem Gesagten erübrigt es sich im vorliegenden Verfahren von den italienischen Behörden für die betroffene Familie individuelle Zusicherungen bezüglich des Zugangs zum Asylverfahren und adäquater familiengerechter Unterbringung einzuholen, weshalb das entsprechende Subeventualbegehren abzuweisen ist.</w:t>
      </w:r>
    </w:p>
    <w:p>
      <w:r>
        <w:rPr>
          <w:b/>
        </w:rPr>
        <w:t>E. 7.5</w:t>
      </w:r>
    </w:p>
    <w:p>
      <w:r>
        <w:t>Insgesamt liegen somit keine zwingenden Gründe für eine Anwendung der Ermessensklauseln von Art. 17 Dublin-III-VO vor. Der Vollständigkeit halber ist festzuhalten, dass die Dublin-III-VO den Schutzsuchenden kein Recht einräumt, den ihren Antrag prüfenden Staat selber auszuwählen (vgl. auch BVGE 2010/45 E. 8.3).</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w:t>
      </w:r>
    </w:p>
    <w:p>
      <w:r>
        <w:rPr>
          <w:b/>
        </w:rPr>
        <w:t>E. 9</w:t>
      </w:r>
    </w:p>
    <w:p>
      <w:r>
        <w:t>Die Vorinstanz ist demnach zu Recht in Anwendung von Art. 31a Abs. 1 Bst. b AsylG auf das Asylgesuch der Beschwerdeführenden nicht eingetreten. Da sie nicht im Besitz einer gültigen Aufenthalts- oder Niederlassungsbewilligung sind, wurde die Überstellung nach Italien in Anwendung von Art. 44 AsylG ebenfalls zu Recht angeordnet (Art. 32 Bst. a AsylV 1).</w:t>
      </w:r>
    </w:p>
    <w:p>
      <w:r>
        <w:rPr>
          <w:b/>
        </w:rPr>
        <w:t>E. 10</w:t>
      </w:r>
    </w:p>
    <w:p>
      <w:r>
        <w:t>Zusammenfassend ergibt sich somit, dass die angefochtene Verfügung Bundesrecht nicht verletzt, den rechtserheblichen Sachverhalt richtig sowie vollständig feststellt und - soweit diesbezüglich überprüfbar - angemessen ist. Die Beschwerde ist daher abzuweisen. Mit dem vorliegenden Entscheid fällt die mit Zwischenverfügung vom 26. Mai 2021 angeordnete aufschiebende Wirkung dahin.</w:t>
      </w:r>
    </w:p>
    <w:p>
      <w:r>
        <w:rPr>
          <w:b/>
        </w:rPr>
        <w:t>E. 11</w:t>
      </w:r>
    </w:p>
    <w:p>
      <w:r>
        <w:t>Bei diesem Ausgang des Verfahrens wären die Kosten grundsätzlich den Beschwerdeführenden aufzuerlegen (Art. 63 Abs. 1 VwVG). Nachdem aber mit Zwischenverfügung vom 26. Mai 2021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