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D-2327/2013 vom 24. September 2013</w:t>
      </w:r>
    </w:p>
    <w:p>
      <w:r>
        <w:t>Bundesverwaltungsgericht, 2013-09-24, DE</w:t>
      </w:r>
    </w:p>
    <w:p>
      <w:r>
        <w:rPr>
          <w:b/>
        </w:rPr>
        <w:t xml:space="preserve">Quelle: </w:t>
      </w:r>
      <w:r>
        <w:t>https://mcp.opencaselaw.ch/entscheid/bvger_D-2327_2013</w:t>
      </w:r>
    </w:p>
    <w:p>
      <w:r>
        <w:t>FR: TAF D-2327/2013 du 24 septembre 2013</w:t>
      </w:r>
    </w:p>
    <w:p>
      <w:r>
        <w:t>IT: TAF D-2327/2013 del 24 settembre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In der Rechtsmitteleingabe wird nicht angefochten, dass die Flücht­lings­eigenschaft verneint und demzufolge das Asyl nicht gewährt wor­den ist. Die Beschwerde richtet sich ausschliesslich gegen den Vollzug der Wegweisung, mithin gegen die Ziffern 4 und 5 des Dispositivs der angefochtenen Verfügung. Es ist deshalb zu prü­fen, ob die Vorinstanz den Wegweisungsvollzug zu Recht angeordnet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Angesichts der heutigen Lage in Bosnien und Herzegowina muss gemäss konstanter Praxis nicht von einer Situation allgemeiner Gewalt oder kriegerischen respektive bürgerkriegsähnlichen Verhältnissen gesprochen werden. Somit ist die Rückkehr der Beschwerdeführerin dorthin grundsätzlich als zumutbar zu betrachten.</w:t>
      </w:r>
    </w:p>
    <w:p>
      <w:r>
        <w:rPr>
          <w:b/>
        </w:rPr>
        <w:t>E. 6.4.2</w:t>
      </w:r>
    </w:p>
    <w:p>
      <w:r>
        <w:t>Es bleibt zu prüfen, ob individuelle Gründe vorliegen, die eine Rückkehr der Beschwerdeführerin in ihr Heimatland als unzumutbar erscheinen lassen.</w:t>
      </w:r>
    </w:p>
    <w:p>
      <w:r>
        <w:rPr>
          <w:b/>
        </w:rPr>
        <w:t>E. 6.4.2.1</w:t>
      </w:r>
    </w:p>
    <w:p>
      <w:r>
        <w:t>Im Arztbericht vom 6. Juni 2013 wird festgehalten, dass die Beschwerdeführerin im Jahr 2010 wegen unmenschlicher Tätigkeiten politischer Machthaber aus ihrem Heimatland traumatisiert worden sei. Sie und ihr Lebenspartner seien grundlos gefoltert worden. Man habe ihr mit Mord gedroht und die Bedrohungen würden sie auch heute noch ängstigen. Insbesondere habe sie Angst, dass man sich an ihrem Sohn räche. Sie wolle jedoch nicht, dass der Arzt über die Erlebnisse berichte. Gestützt auf diesen Arztbericht wurde eine Mischung aus Angst und depressiver Reaktion, eine Vicarious traumatisation als depressives Syndrom im Zusammenhang mit seelischer Anteilnahme an einer schweren Traumatisierung einer Drittperson, eine posttraumatische Belastungsstörung (PTBS) und eine generalisierte Angststörung diagnostiziert.</w:t>
      </w:r>
    </w:p>
    <w:p>
      <w:r>
        <w:rPr>
          <w:b/>
        </w:rPr>
        <w:t>E. 6.4.2.2</w:t>
      </w:r>
    </w:p>
    <w:p>
      <w:r>
        <w:t>Die Fluchtgründe der Beschwerdeführerin wurden vom BFM teilweise als unglaubhaft und teilweise als nicht relevant für die Flüchtlingseigenschaft beurteilt. Dieser Teil der vorinstanzlichen Verfügung ist mangels Anfechtung in Rechtskraft erwachsen. Somit ist es fraglich, ob die geltend gemachten psychischen Probleme der Beschwerdeführerin ihren Ursprung in den dargelegten Ausreisegründen haben. Da sie zudem ausdrücklich nicht will, dass der sie behandelnde Arzt über die Gründe ihrer Traumatisierung Auskunft gibt, bleiben diese im Dunkeln. Indessen spielt dies für die Beurteilung der Zumutbarkeit des Wegweisungsvollzugs keine Rolle, zumal ohnehin von der Behandelbarkeit der geltend gemachten gesundheitlichen Beschwerden im Heimatland auszugehen ist und es der Beschwerdeführerin somit zuzumuten ist, sich für die Behandlung an die entsprechenden Institutionen ihres Heimatlandes zu wenden. Wie der sie behandelnde Arzt im Arztzeugnis vom 19. April 2013 - den Lebenspartner der Beschwerdeführerin betreffend (vgl. [...]) - erklärte, sind im Heimatland der Beschwerdeführerin für die Behandlung von Traumatisierungen spezialisierte medizinische Einrichtungen vorhanden. Diese stehen auch der Beschwerdeführerin offen. Insgesamt erscheint aus der Sicht des Bundesverwaltungsgerichts eine Behandlung der Beschwerdeführerin in ihrem Heimatland zumutbar.</w:t>
      </w:r>
    </w:p>
    <w:p>
      <w:r>
        <w:rPr>
          <w:b/>
        </w:rPr>
        <w:t>E. 6.4.2.3</w:t>
      </w:r>
    </w:p>
    <w:p>
      <w:r>
        <w:t>Da sich der Lebenspartner der Beschwerdeführerin (vgl. a.a.O.) ebenfalls in der Schweiz befindet und seine Asylbeschwerde vom Bundesverwaltungsgericht ebenfalls abgewiesen wird, kann sich die Beschwerdeführerin zusammen mit ihrem Lebenspartner und dem gemeinsamen minderjährigen Sohn ins Heimatland begeben, wo sie als Familie leben und sich gegenseitig Halt geben können. Damit wird die Beschwerdeführerin einerseits bei der Erziehung ihres Sohnes entlastet und kann andererseits mit der - auch finanziellen - Unterstützung ihres Lebenspartners rechnen. Insgesamt erweist sich der Vollzug der Wegweisung somit als zumutbar.</w:t>
      </w:r>
    </w:p>
    <w:p>
      <w:r>
        <w:rPr>
          <w:b/>
        </w:rPr>
        <w:t>E. 6.5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6.6</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somit abzuweisen.</w:t>
      </w:r>
    </w:p>
    <w:p>
      <w:r>
        <w:rPr>
          <w:b/>
        </w:rPr>
        <w:t>E. 8</w:t>
      </w:r>
    </w:p>
    <w:p>
      <w:r>
        <w:t>Bei diesem Ausgang des Verfahrens ist das Gesuch um Gewährung der unentgeltlichen Rechtspflege gutzuheissen, da die Beschwerde nicht aussichtslos war, weshalb keine Kosten auferlegt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