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D-2327/2007 vom 28. Juni 2007</w:t>
      </w:r>
    </w:p>
    <w:p>
      <w:r>
        <w:t>Bundesverwaltungsgericht, 2007-06-28, FR</w:t>
      </w:r>
    </w:p>
    <w:p>
      <w:r>
        <w:rPr>
          <w:b/>
        </w:rPr>
        <w:t xml:space="preserve">Quelle: </w:t>
      </w:r>
      <w:r>
        <w:t>https://mcp.opencaselaw.ch/entscheid/bvger_D-2327_2007</w:t>
      </w:r>
    </w:p>
    <w:p>
      <w:r>
        <w:t>FR: TAF D-2327/2007 du 28 juin 2007</w:t>
      </w:r>
    </w:p>
    <w:p>
      <w:r>
        <w:t>IT: TAF D-2327/2007 del 28 giugno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105 al. 1 LAsi, 33 let. d LTAF et 83 let. d ch. 1 de la Loi fédérale du 17 juin 2005 sur le Tribunal fédéral (LTF, RS 173.110).</w:t>
      </w:r>
    </w:p>
    <w:p>
      <w:r>
        <w:rPr>
          <w:b/>
        </w:rPr>
        <w:t>E. 1.2</w:t>
      </w:r>
    </w:p>
    <w:p>
      <w:r>
        <w:t>Les intéressés ont qualité pour recourir (cf. art. 48 al. 1 PA). Présenté dans la forme (cf. art. 52 PA) et le délai (cf. art. 108a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JICRA 1996 n° 5 consid. 3 p. 39, JICRA 1995 n° 14 consid. 4 p. 127s., et jurisp. cit.).</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On entend, par document de voyage, tout document officiel autorisant l'entrée dans l'État d'origine ou dans d'autres États, tel qu'un passeport ou un document de voyage de remplacement (art. 1 let. b de l'Ordonnance 1 du 11 août 1999 sur l'asile relative à la procédure [OA 1, RS 142.311]), et par pièce d'identité ou papier d'identité, tout document officiel comportant une photographie et établissant l'identité du détenteur (art. 1 let. c OA 1).</w:t>
      </w:r>
    </w:p>
    <w:p>
      <w:r>
        <w:rPr>
          <w:b/>
        </w:rPr>
        <w:t>E. 3.1</w:t>
      </w:r>
    </w:p>
    <w:p>
      <w:r>
        <w:t>En l'occurrence, les recourants n'ont pas produit de documents de voyage ou de pièces d'identité et n'ont rien entrepris dans les 48 heures dès le dépôt de leurs demandes d'asile pour s'en procurer.</w:t>
      </w:r>
    </w:p>
    <w:p>
      <w:r>
        <w:rPr>
          <w:b/>
        </w:rPr>
        <w:t>E. 3.2</w:t>
      </w:r>
    </w:p>
    <w:p>
      <w:r>
        <w:t>Il convient toutefois d'examiner si c'est à bon droit que l'ODM a constaté qu'aucune des trois exceptions prévues par l'art. 32 al. 3 LAsi ne trouvait application.</w:t>
      </w:r>
    </w:p>
    <w:p>
      <w:r>
        <w:rPr>
          <w:b/>
        </w:rPr>
        <w:t>E. 3.3</w:t>
      </w:r>
    </w:p>
    <w:p>
      <w:r>
        <w:t>A titre préliminaire, il sied de relever que ces exceptions sont de nature alternative : il suffit que l'une d'elles soit réalisée pour qu'il soit entré en matière sur une demande d'asile.</w:t>
      </w:r>
    </w:p>
    <w:p>
      <w:r>
        <w:rPr>
          <w:b/>
        </w:rPr>
        <w:t>E. 3.4</w:t>
      </w:r>
    </w:p>
    <w:p>
      <w:r>
        <w:t>En l'espèce, c'est sur la question de savoir si des mesures d'instruction s'avèrent nécessaires pour constater l'existence d'un empêchement à l'exécution du renvoi que le Tribunal portera son examen, dès lors que les recourants ont allégué être d'ethnie rom et provenir du Kosovo.</w:t>
      </w:r>
    </w:p>
    <w:p>
      <w:r>
        <w:rPr>
          <w:b/>
        </w:rPr>
        <w:t>E. 3.4.1</w:t>
      </w:r>
    </w:p>
    <w:p>
      <w:r>
        <w:t>Comme l'avait déjà relevé l'ancienne Commission suisse de recours en matière d'asile, la situation des minorités ethniques au Kosovo est précaire. Dans deux décisions publiées, l'une rendue le 18 novembre 2005 et l'autre le 13 janvier 2006 (cf. JICRA 2006 no 10, JICRA 2006 no 11), dite autorité avait considéré que l'exécution du renvoi des Roms, Ashkalis et Egyptiens albanophones était, en règle générale, raisonnablement exigible, pour autant toutefois qu'un examen individualisé, tenant compte d'un certain nombre de critères (état de santé, âge, formation professionnelle, possibilité concrète de réinstallation dans des conditions économiques décentes, réseau social et familial sur place), ait été effectué, notamment par l'entremise du Bureau de liaison au Kosovo. Selon cette jurisprudence, en l'absence d'un tel examen, la décision d'exécution du renvoi devait être annulée et l'affaire renvoyée à l'autorité intimée pour complément d'instruction, à moins que l'intéressé ait entretenu des relations particulières avec la majorité albanaise (JICRA 2006 no 10 spéc. consid. 5.4. in fine, JICRA 2006 no 11 spéc. consid. 6.2.3.).</w:t>
      </w:r>
    </w:p>
    <w:p>
      <w:r>
        <w:rPr>
          <w:b/>
        </w:rPr>
        <w:t>E. 3.4.2</w:t>
      </w:r>
    </w:p>
    <w:p>
      <w:r>
        <w:t>Aujourd'hui, les membres des minorités ethniques, en particuliers les Roms, Ashkalis et Egyptiens, en dépit d'efforts importants des autorités en place pour promouvoir l'égalité, sont toujours la cible de diverses discriminations sociales ainsi que d'actes d'incivilité ou de violence. Selon le Conseil de l'Europe, "la situation des Roms, Ashkalis et Egyptiens du Kosovo est particulièrement préoccupante, notamment pour les personnes déplacées à l'intérieur du territoire (PDI), lesquelles ne constatent aucun signe d'amélioration prochaine" (rapport de la Commission des questions politiques de l'Assemblée parlementaire du Conseil de l'Europe du 18 septembre 2006, situation actuelle au Kosovo, doc. 11018, ch. C19 ; cf. également Conseil de l'Europe, Résolution 1533 [2007] adoptée le 24 février 2007). La plupart des membres de cette communauté vivent dans des conditions défavorables, leur accès aux services publics, au monde du travail ou à l'éducation étant limité ; des efforts sont encore nécessaires pour lutter contre l'intolérance (rapport de la Commission des Communautés européennes du 8 novembre 2006, COM[2006] 649, Bruxelles, spéc. p. 56 ; rapport de la Commission des Communautés européennes du 8 novembre 2006, Kosovo [under UNSCR 1244] 2006 Progress Report, SEC[2006] 1386, Bruxelles, spéc. p. 16). La Mission d'administration intérimaire des Nations Unies au Kosovo (MINUK) considère, pour sa part, que le renvoi des Roms au Kosovo est exclu et que celui des Ashkalis et Egyptiens ne devrait se faire qu'après un examen individualisé tenant compte en particulier des conditions effectives de sécurité sur place et des possibilités d'hébergement (Bundesamt für Migration und Flüchtlinge [BAMF], Serbien/Kosovo, Aktuelle Entwicklung 2006 [Politische, wirtschaftliche und soziale Lage], décembre 2006, spéc. p. 18). La MINUK a conclu, en avril 2005, un accord dans ce sens avec les autorités allemandes, lequel prévoit la réadmission, au Kosovo, des Ashkalis et des Egyptiens (à l'exclusion des Roms) sur la base d'un examen individuel préalable (cf. Loïc Morvan, Forum réfugiés, Kosovo : des possibilités de retour limitées, juillet 2006, p. 9). Stephane Laederich (Kosovo 2006 : the current situation of Rroma, Rroma Foundation, juin 2006) estime, quant à lui, que les Roms (terme englobant, dans son rapport, également les Ashkalis et les Egyptiens) ne peuvent pas rentrer dans leur pays, dès lors que leur situation sécuritaire et économique ne s'est pas améliorée et que leurs conditions de vie sont déplorables. Il conteste l'appréciation de ceux qui prétendent que les attaques à caractère ethnique seraient en nette diminution. Il explique que les Roms, dont la population a fortement diminué au Kosovo, certaines régions étant même "ethniquement propres", renoncent à porter plainte, par craintes de représailles. Le Haut Commissariat des Nations Unies pour les réfugiés (HCR), dans son récent rapport (UNHCR's position on the continued international protection needs of individuals from Kosovo, juin 2006, spéc. ch. 3 p. 1s. et ch. 18ss p. 6), relève également que les minorités ethniques continuent de faire face à de sérieux obstacles pour accéder à des services essentiels, tels l'éducation, la santé, la justice et l'administration publique. Il estime que les Roms en situation minoritaire au Kosovo courent toujours un risque de persécution et doivent pouvoir bénéficier de la protection internationale, leur retour ne devant être envisagé que sur une base volontaire et en connaissance de la situation sur place (ibidem ch. 24 p. 7). Il considère, en revanche, que dorénavant, les Ashkalis et les Egyptiens peuvent retourner chez eux, leur sécurité n'étant en général plus menacée. Toutefois, le HCR préconise une certaine retenue dans l'exécution de leurs renvois, pour tenir compte des capacités d'absorption limitées du Kosovo, des conditions socio-économiques y prévalant et afin de ne pas mettre en péril le fragile équilibre politique et social durant les négociations sur le statut final de cette province (ibidem ch. 25 p. 7), négociations dont le résultat pourrait influencer de manière significative le sort des minorités ethniques au Kosovo et avoir un effet sur d'autres régions pluriethniques de Serbie (dans ce sens, cf. International Crisis Group, Southern Serbia : In Kosovo's Shadow, 27 juin 2006, p. 11).</w:t>
      </w:r>
    </w:p>
    <w:p>
      <w:r>
        <w:rPr>
          <w:b/>
        </w:rPr>
        <w:t>E. 3.4.3</w:t>
      </w:r>
    </w:p>
    <w:p>
      <w:r>
        <w:t>Au vu de ce qui précède, force est de constater que l'amélioration du climat régnant entre les différentes communautés ethniques du Kosovo demeure fragile. Dans ces conditions, la jurisprudence citée au considérant 3.4.2 doit être maintenue, une modification de celle-ci étant prématurée.</w:t>
      </w:r>
    </w:p>
    <w:p>
      <w:r>
        <w:rPr>
          <w:b/>
        </w:rPr>
        <w:t>E. 3.4.4</w:t>
      </w:r>
    </w:p>
    <w:p>
      <w:r>
        <w:t>Dans le cas des recourants, aucune enquête sur place n'a été diligentée. Pourtant, seule une telle mesure d'instruction eût permis de déterminer avec précision l'existence d'un réseau familial et social susceptible de les accueillir et de les prendre en charge, ainsi que d'apprécier leurs chances de réinsertion professionnelle et la possibilité concrète pour eux, sur le plan sécuritaire notamment, de se réinstaller au Kosovo. Les intéressés proviennent du village de E._______, situé dans la municipalité de Gjakovë, ville qui serait à 95.5 % albanaise (cf. rapport de l'OSCE, Mission in Kosovo, Gjakovë/Dakovica, décembre 2005, p. 3). Dans un tel contexte, le fait d'appartenir à une minorité ethnique constitue, en principe, un danger. Par ailleurs, il n'est pas établi, en l'état du dossier, que les recourants pourront bénéficier du soutien, financier notamment, de proches parents restés au pays. En effet, selon leurs déclarations, les seuls membres de leur famille vivant encore au Kosovo sont les parents et l'oncle de A._______. Or la situation financière de ceux-ci n'est pas connue. Par ailleurs, B._______ a indiqué que son époux n'était pas en bons termes avec ses parents. Au surplus, aucun élément au dossier ne permet d'admettre que les intéressés aient tissé des liens particulièrement étroits avec la population albanaise ou aient fait preuve de solidarité à l'égard de celle-ci. Il sied également de relever qu'un retour vers une autre partie de la Serbie n'est, en règle générale, pas envisageable pour les personnes issues de la minorité des Roms, Ashkalis et Egyptiens (cf. JICRA 2006 n° 11 consid. 6.3 p. 123s.).</w:t>
      </w:r>
    </w:p>
    <w:p>
      <w:r>
        <w:rPr>
          <w:b/>
        </w:rPr>
        <w:t>E. 3.4.5</w:t>
      </w:r>
    </w:p>
    <w:p>
      <w:r>
        <w:t>Par conséquent, des mesures d'instruction s'avèrent nécessaires pour constater l'existence d'un empêchement à l'exécution du renvoi des recourants au Kosovo, au sens de l'art. 32 al. 3 let. c LAsi.</w:t>
      </w:r>
    </w:p>
    <w:p>
      <w:r>
        <w:rPr>
          <w:b/>
        </w:rPr>
        <w:t>E. 4</w:t>
      </w:r>
    </w:p>
    <w:p>
      <w:r>
        <w:t>Au vu de ce qui précède, c'est à tort que l'ODM a nié l'existence des conditions requises pour l'obliger à statuer au fond sur les demandes d'asile des intéressés. Le recours doit donc être admis, la décision querellée annulée et la cause renvoyée à l'autorité de première instance. Celle-ci est invitée à entrer en matière et à procéder à un examen matériel de ladite demande, le Tribunal n'étant pas habilité à le faire. En particulier, elle est invitée à procéder à une enquête sur place par l'entremise du Bureau de liaison au Kosovo.</w:t>
      </w:r>
    </w:p>
    <w:p>
      <w:r>
        <w:rPr>
          <w:b/>
        </w:rPr>
        <w:t>E. 5.1</w:t>
      </w:r>
    </w:p>
    <w:p>
      <w:r>
        <w:t>Vu l'issue de la cause, il n'y a pas lieu de percevoir de frais de procédure (cf. art. 63 al. 1 et 2 PA). La demande d'assistance judiciaire partielle est donc sans objet.</w:t>
      </w:r>
    </w:p>
    <w:p>
      <w:r>
        <w:rPr>
          <w:b/>
        </w:rPr>
        <w:t>E. 5.2</w:t>
      </w:r>
    </w:p>
    <w:p>
      <w:r>
        <w:t>S'agissant de la demande d'assistance judiciaire totale formulée par les recourants, il y a lieu de relever que, selon l'art. 65 al. 2 PA et la jurisprudence en matière administrative (cf. ATF 122 I 51 consid. 2c.bb, 120 Ia 45 consid. 2a et ATF 119 Ia 265 consid. 3a), un avocat n'est désigné d'office que lorsque la procédure porte une atteinte particulièrement grave à la situation juridique de l'intéressé ou qu'elle soulève des questions complexes quant au droit et au fond. En l'espèce, en dépit des modifications légales entrées en vigueur au 1er janvier 2007, en particulier s'agissant des prononcés de non-entrée en matière, les questions soulevées ne sont pas complexes au point de nécessiter impérativement le concours d'un avocat. En effet, la maxime inquisitoire (cf. art. 12 PA) impose à l'autorité de recours un examen de la cause qui ne se limite pas aux allégués des parties, ce qui contribue déjà à atténuer considérablement l'existence d'éventuelles difficultés. En l'occurrence, il suffisait, pour les recourants, de réaffirmer qu'ils étaient d'ethnie rom et qu'ils provenaient du Kosovo, et de contester la décision prise par l'ODM en indiquant leurs motifs, à savoir alléguer les raisons les ayant empêché de produire des documents d'identité, expliquer en quoi les autorités de leur pays d'origine étaient incapables de leur offrir une protection contre les préjudices allégués et/ou indiquer que des mesures d'instruction supplémentaires s'avéraient indispensables, soit autant d'arguments qui reposent avant tout sur des faits et ne requièrent pas de connaissances juridiques pointues. Les intéressés étaient donc en mesure de former un recours sans l'assistance d'un avocat commis d'office et sans que la sauvegarde de leurs droits ne soit mise en danger. Pour le surplus, le Tribunal constate que la mandataire des recourants n'a pas établi être titulaire du brevet d'avocat. Par conséquent, la demande d'assistance judiciaire totale formulée par les intéressés doit être rejetée.</w:t>
      </w:r>
    </w:p>
    <w:p>
      <w:r>
        <w:rPr>
          <w:b/>
        </w:rPr>
        <w:t>E. 5.3</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la jurisprudence du Conseil fédéral, confirmée par la doctrine, cette disposition donne un véritable droit à l'allocation de dépens. Il s'agit d'une "Muss-Vorschrift (cf. notamment JAAC 57.16, 56.2, 54.39, 40.31; Alfred Kölz / Isabelle Häner, Verwaltungsverfahren und Verwaltungsrechtspflege des Bundes, 2e éd., Zurich 1998, p. 249 ; André Grisel, Traité de droit administratif, Neuchâtel 1984, vol. II, p. 847). Lorsque la partie qui prétend à des dépens - dont l'attribution n'est due que pour la participation à une procédure de recours - ne fait pas parvenir une note détaillée à ce sujet avant le prononcé, l'autorité de recours fixe les dépens d'office et selon sa propre appréciation (cf. art. 8 al. 1 de l'Ordonnance du 10 septembre 1969 sur les frais et indemnités en procédure administrative [OFIPA, RS 172.041.0] ; art. 14 du Règlement concernant les frais, dépens et indemnités fixéa par le Tribunal administratif fédéral [FITAF, RS 173.320.3] ; ATF 115 Ia 101 ; Jean-François Poudret, Commentaire de la loi fédérale d'organisation judiciaire, du 16 décembre 1943, vol. V, Berne 1992, p. 158). En l'espèce, en l'absence de note de frais, il y a lieu d'attribuer aux recourants, qui ont obtenu gain de cause, une indemnité équitable à titre de dépens pour les "frais indispensables" encourus dans le cadre de la présente procédure de recours, dont la quotité - compte tenu du degré de complexité de la cause et du travail accompli in casu - est fixée ex aequo et bono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