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D-2322/2008 vom 20. Oktober 2010</w:t>
      </w:r>
    </w:p>
    <w:p>
      <w:r>
        <w:t>Bundesverwaltungsgericht, 2010-10-20, DE</w:t>
      </w:r>
    </w:p>
    <w:p>
      <w:r>
        <w:rPr>
          <w:b/>
        </w:rPr>
        <w:t xml:space="preserve">Quelle: </w:t>
      </w:r>
      <w:r>
        <w:t>https://mcp.opencaselaw.ch/entscheid/bvger_D-2322_2008</w:t>
      </w:r>
    </w:p>
    <w:p>
      <w:r>
        <w:t>FR: TAF D-2322/2008 du 20 octobre 2010</w:t>
      </w:r>
    </w:p>
    <w:p>
      <w:r>
        <w:t>IT: TAF D-2322/2008 del 20 ottobre 2010</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Beschwerdeführung legitimiert und die Beschwerdeeinreichung erfolgte sowohl frist- als auch formgerecht, weshalb auf die Beschwerdesache einzutreten ist (vgl. Art. 37 VGG i.V.m. Art. 112 AuG und Art. 48 Abs. 1, Art. 50 und 52 VwVG]).</w:t>
      </w:r>
    </w:p>
    <w:p>
      <w:r>
        <w:rPr>
          <w:b/>
        </w:rPr>
        <w:t>E. 2</w:t>
      </w:r>
    </w:p>
    <w:p>
      <w:r>
        <w:t>Gestützt auf Art. 57 Abs. 1 VwVG (e contrario) wurde vorliegend auf einen Schriftenwechsel verzichtet, da sich die Beschwerde, wie bereits in der Zwischenverfügung vom 23. April 2008 festgestellt und in den nachfolgenden Erwägungen darzulegen ist, als aussichtslos und damit als von vornherein unbegründet im Sinne der erwähnten Bestimmung erweist, weshalb vorliegend in einzelrichterlicher Zuständigkeit mit Zustimmung eines zweiten Richters beziehungsweise einer zweiten Richterin entschieden wird (Art. 111 Bst. e AsylG) und der Beschwerdeentscheid nur summarisch zu begründen ist (Art. 111a Abs. 2 AsylG).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11. November 2005 vorläufig aufgenommen wurde, ist aufgrund der genannten übergangsrechtlichen Regelung das Vorliegen der Voraussetzungen für die Aufhebung der vorläufigen Aufnahme nach neuem Recht - mithin nach Art. 84 Abs. 2 AuG - zu prüfen.</w:t>
      </w:r>
    </w:p>
    <w:p>
      <w:r>
        <w:rPr>
          <w:b/>
        </w:rPr>
        <w:t>E. 3.2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11. November 2005 verfügte vorläufige Aufnahme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11. November 2005 festgestellt hat, dass der Beschwerdeführer die Flüchtlingseigenschaft nicht erfüllt, und der Entscheid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4.2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Nachdem sich der Beschwerdeführer alleine auf die im Nordirak herrschende, angeblich unzumutbare Lage beruft, sind keine individuellen Gründe ersichtlich, welche gegen die Zulässigkeit des Wegweisungsvollzuges sprechen würden. Nach Praxis des Bundesverwaltungsgerichts lässt sodann die allgemeine Sicherheits- und Menschenrechtslage in den drei Nordprovinzen des Irak (Dohuk, Erbil und Suleimaniya)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4.3</w:t>
      </w:r>
    </w:p>
    <w:p>
      <w:r>
        <w:t>Der Vollzug der Wegweisung ist demnach sowohl im Sinne der asyl- als auch der völkerrechtlichen Bestimmungen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Bundesverwaltungsgericht geht nach einer umfassenden Beurteilung der aktuellen Situation in den drei nordirakischen Provinzen Dohuk, Suleimaniya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5.3</w:t>
      </w:r>
    </w:p>
    <w:p>
      <w:r>
        <w:t>Die Sicherheitssituation im Nordirak hat sich seit Publikation des erwähnten Urteils - entgegen den sinngemäss anders lautenden Vorbringen -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Die Vorbringen des Beschwerdeführers betreffend eine angeblich schlechte Lage, besonders in der Provinz Suleimaniya, vermögen im Resultat nicht zu überzeugen.</w:t>
      </w:r>
    </w:p>
    <w:p>
      <w:r>
        <w:rPr>
          <w:b/>
        </w:rPr>
        <w:t>E. 5.4</w:t>
      </w:r>
    </w:p>
    <w:p>
      <w:r>
        <w:t>Der gemäss den Akten nunmehr (...)-jährige Beschwerdeführer ist ethnischer Sunnite, und er hat seit seiner Geburt zumindest seine 18 ersten Lebensjahre - mithin seine prägenden Kinder- und Jugendjahre - ununterbrochen in Suleimaniya verbracht, wo er während vier Jahren die Schule besuchte und danach mit dem Einkommen seiner Arbeitstätigkeit auf dem Markt seinen Lebensunterhalt bestritt. Vor diesem Hintergrund ist davon auszugehen, dass er in Suleimaniya nach wie vor über ein beachtliches soziales Beziehungsnetz verfügt. Zwar macht er geltend, er habe dort keine verwandtschaftlichen Anknüpfungspunkte mehr, weshalb ihm eine Reintegration in Suleimaniya nicht möglich sei. Im Falle des Beschwerdeführers - ein jüngerer, gemäss den Akten gesunder Mann, welcher in Suleimaniya offenkundig über Jahre selbständig ein Auskommen fand - erscheint dieser Punkt indes als nicht ausschlaggebend, mithin besteht kein Anlass zur Annahme, er wäre zwingend auf familiären Beistand angewiesen. Bei E._______ handelt es sich um (...) mit deutlich über (...), in welcher durchaus ein reger Wirtschaftsbetrieb herrscht. Aufgrund seiner Tätigkeit auf dem Markt darf davon ausgegangen werden, dass er dort - wie erwähnt - weiterhin über ein beachtliches soziales Beziehungsnetz verfügt, mithin ist davon auszugehen, dass er sich in der Vergangenheit einen grossen Freundes- und Bekanntenkreis schaffen konnte. Vor diesem Hintergrund darf davon ausgegangen werden, dass der Beschwerdeführer durchaus in der Lage ist, sich selbständig wiederum eine tragfähige Existenz aufzubauen. Zur Überbrückung allfälliger Anfangsschwierigkeiten kann der Beschwerdeführer zudem - wie vom BFM zu Recht erwähnt - Rückkehrhilfe beantragen. Es ist demnach nicht davon auszugehen, dass der Beschwerdeführer bei seiner Rückkehr nach Suleimaniya aus individuellen Gründen wirtschaftlicher, sozialer oder gesundheitlicher Natur in eine existenzbedrohende Situation geraten würde.</w:t>
      </w:r>
    </w:p>
    <w:p>
      <w:r>
        <w:rPr>
          <w:b/>
        </w:rPr>
        <w:t>E. 5.5</w:t>
      </w:r>
    </w:p>
    <w:p>
      <w:r>
        <w:t>Auf die Vorbringen des Beschwerdeführers, dass seine Mutter und Schwester in D._______ - wo auch er die letzten Jahre vor seiner Ausreise nach der Flucht aus Suleimaniya verbracht habe - leben würden, ist an dieser Stelle nicht näher einzugehen. Die Vorinstanz wies bereits im Asylverfahren gestützt auf ein Lingua-Gutachten darauf hin, dass der Beschwerdeführer einen langjährigen Aufenthalt in D._______ nicht habe glaubhaft machen können. Dasselbe gilt auch für die angeblichen Hintergründe im Zusammenhang mit dem politischen Wirken seines Vaters - einem vermeintlichen Kollaborateur von Saddam Hussein - und der vorgebrachten Flucht nach D._______. Die diesbezüglichen Vorbringen sind laut Verfügung des BFM vom 11. November 2005, mit welcher sein Asylgesuch abgewiesen sowie seine Wegweisung angeordnet wurde und welche unangefochten in Rechtskraft erwuchs, als ungereimt bezeichnet worden, weshalb vorliegend auch darauf nicht weiter einzugehen ist.</w:t>
      </w:r>
    </w:p>
    <w:p>
      <w:r>
        <w:rPr>
          <w:b/>
        </w:rPr>
        <w:t>E. 5.6</w:t>
      </w:r>
    </w:p>
    <w:p>
      <w:r>
        <w:t>Angesichts dieser Ausführungen kann auf Erwägungen zur Lage in D._______ ohne weiteres verzichtet werden.</w:t>
      </w:r>
    </w:p>
    <w:p>
      <w:r>
        <w:rPr>
          <w:b/>
        </w:rPr>
        <w:t>E. 5.7</w:t>
      </w:r>
    </w:p>
    <w:p>
      <w:r>
        <w:t>In seiner Beschwerdeeingabe wendet der Beschwerdeführer zudem ein, durch die Intervention der türkischen Armee im Nordirak sei er bei einer Rückkehr in sein Heimatland einer zusätzlichen Gefahr ausgesetzt. Wie jedoch bereits die Vorinstanz zu Recht ausgeführt hat, richten sich die türkischen Offensivaktionen nicht gegen die im Nordirak lebende Zivilbevölkerung, weshalb diese keine individuelle Gefährdung des Beschwerdeführers darstellen.</w:t>
      </w:r>
    </w:p>
    <w:p>
      <w:r>
        <w:rPr>
          <w:b/>
        </w:rPr>
        <w:t>E. 5.8</w:t>
      </w:r>
    </w:p>
    <w:p>
      <w:r>
        <w:t>Schliesslich ist festzuhalten, dass es nach geltendem Recht nunmehr dem Kanton vorbehalten ist, mit Zustimmung des Bundesamtes einer ihm nach Gesetz zugewiesenen Person auf deren Gesuch hin eine Aufenthaltsbewilligung zu erteilen, wenn wegen der fortgeschrittenen Integration ein schwerwiegender persönlicher Härtefall vorliegt (Art. 14 Abs. 2 Bst. c AsylG). Das Vorliegen einer schwerwiegenden persönlichen Notlage kann somit vor dem Bundesverwaltungsgericht nicht mehr geprüft werden, weshalb auf die Vorbringen betreffend die individuelle Integration des Beschwerdeführers in der Schweiz und den Hinweis auf die frühere Rechtsprechung der Schweizerischen Asylrekurskommission (vgl. Entscheidungen und Mitteilungen der Schweizerischen Asylrekurskommission [EMARK] 2001 Nr. 10, 2001 Nr. 25 und 2002 Nr. 3) nicht näher einzugehen ist (Anmerkung des Bundesverwaltungsgerichts: Die Bestimmungen von Art. 44 Abs. 3-5 AsylG in der Fassung vom 26. Juni 1998, AS 1999 2273, sind auf den 1. Januar 2007 aufgehoben worden).</w:t>
      </w:r>
    </w:p>
    <w:p>
      <w:r>
        <w:rPr>
          <w:b/>
        </w:rPr>
        <w:t>E. 5.9</w:t>
      </w:r>
    </w:p>
    <w:p>
      <w:r>
        <w:t>Nach den vorstehenden Erwägungen ist der Vollzug der Wegweisung als zumutbar zu bezeichnen.</w:t>
      </w:r>
    </w:p>
    <w:p>
      <w:r>
        <w:rPr>
          <w:b/>
        </w:rPr>
        <w:t>E. 6</w:t>
      </w:r>
    </w:p>
    <w:p>
      <w:r>
        <w:t>Der Wegweisungsvollzug in den Nordirak ist schliesslich praxisgemäss auch als möglich zu erkennen (Art. 83 Abs. 2 AuG). Der Beschwerdeführer ist gehalten, die für eine Rückkehr notwendigen Reisedokumente - namentlich einen Reisepass - bei der für ihn zuständigen Vertretung seines Heimatstaates zu beschaffen (Art. 8 Abs. 4 AsylG).</w:t>
      </w:r>
    </w:p>
    <w:p>
      <w:r>
        <w:rPr>
          <w:b/>
        </w:rPr>
        <w:t>E. 7</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April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