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D-2321/2015 vom 22. April 2015</w:t>
      </w:r>
    </w:p>
    <w:p>
      <w:r>
        <w:t>Bundesverwaltungsgericht, 2015-04-22, DE</w:t>
      </w:r>
    </w:p>
    <w:p>
      <w:r>
        <w:rPr>
          <w:b/>
        </w:rPr>
        <w:t xml:space="preserve">Quelle: </w:t>
      </w:r>
      <w:r>
        <w:t>https://mcp.opencaselaw.ch/entscheid/bvger_D-2321_2015</w:t>
      </w:r>
    </w:p>
    <w:p>
      <w:r>
        <w:t>FR: TAF D-2321/2015 du 22 avril 2015</w:t>
      </w:r>
    </w:p>
    <w:p>
      <w:r>
        <w:t>IT: TAF D-2321/2015 del 22 aprile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richtet sich hinsichtlich des Asylpunktes und des Vorliegens der Flüchtlingseigenschaft nach Art. 106 Abs. 1 AsylG, hinsichtlich der Prüfung der Wegweisungsvollzugshindernisse nach Art. 49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die Asylgesuche ab, da die Vorbringen der Beschwerdeführenden den Anforderungen an die Flüchtlingseigenschaft gemäss Art. 3 AsylG nicht standhielten. Die vorgebrachten Nachteile seien nicht geeignet, die Flüchtlingseigenschaft zu begründen, da die Voraussetzungen der Aktualität - in Hinblick auf die vom Beschwerdeführer erlittene Verletzung und den (...) vor über 20 Jahren - sowie der Intensität - hinsichtlich der aktuell geltend gemachten Bedrohungen und Behelligungen durch serbische Jugendliche und Nachbarn - einer Verfolgung gemäss Art. 3 AsylG nicht erfüllt seien. Mangels Asylrelevanz der Vorbringen könne darauf verzichtet werden, auf allfällige Unglaubhaftigkeitselemente einzugehen.</w:t>
      </w:r>
    </w:p>
    <w:p>
      <w:r>
        <w:rPr>
          <w:b/>
        </w:rPr>
        <w:t>E. 5.2</w:t>
      </w:r>
    </w:p>
    <w:p>
      <w:r>
        <w:t>Die Beschwerdeführenden halten dagegen, sie seien aufgrund der erzwungenen Rückkehr in die Republika Srpska von den dort ansässigen Serben in der Nachbarschaft ständig bedroht und gefährdet und könnten sich auch auf keinen Schutz durch die lokalen Sicherheitsbehörden berufen, da auch in Polizei und Verwaltung nur Serben arbeiten würden.</w:t>
      </w:r>
    </w:p>
    <w:p>
      <w:r>
        <w:rPr>
          <w:b/>
        </w:rPr>
        <w:t>E. 5.3</w:t>
      </w:r>
    </w:p>
    <w:p>
      <w:r>
        <w:t>Das Bundesverwaltungsgericht gelangt nach Prüfung der Akten in Übereinstimmung mit der Vorinstanz zum Schluss, dass die Vorbringen der Beschwerdeführenden den Anforderungen an die Flüchtlingseigenschaft nicht standhalten. Wie das SEM zutreffend ausführte, handelt es sich bei den geschilderten Vorfällen gegebenenfalls um private Übergriffe. Der Bundesrat hat Bosnien-Herzegowina als sicheren Herkunftsstaat im Sinne von Art. 6a Abs. 2 Bst. a AsylG bezeichnet, was bedeutet, dass grundsätzlich Sicherheit vor Verfolgung besteht und die bosnisch-herzegowinischen Behörden als schutzbereit und schutzfähig zu bezeichnen sind. Die in der Beschwerde geltend gemachten Vorbringen sind nicht geeignet, diese Einschätzung zu erschüttern. Die Beschwerdeführenden haben nach eigenen Angaben keinen Versuch unternommen, Schutz bei den lokalen Behörden - oder bei Organen und Organisationen der immer noch präsenten internationalen Gemeinschaft - zu erlangen (vgl. act. A26/, F. 36 -43; A27/8, F. 25 - 29). Für ihre Annahme, sie hätten bei den serbisch dominierten Behörden am Wohnort ohnehin keinen Schutz erhalten können, haben die Beschwerdeführenden auch keine konkreten Anhaltspunkte liefern können. Ihre Ausführungen diesbezüglich erschöpfen sich in Behauptungen und Gerüchten vom Hörensagen. Es kann deshalb ohne Weiterungen auf die vorinstanzlichen Erwägungen verwiesen werden, welche vollumfänglich zu stützen sind.</w:t>
      </w:r>
    </w:p>
    <w:p>
      <w:r>
        <w:rPr>
          <w:b/>
        </w:rPr>
        <w:t>E. 5.4</w:t>
      </w:r>
    </w:p>
    <w:p>
      <w:r>
        <w:t>Nach dem Gesagten hat das SEM zu Recht die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Rückkehr nach Bosnien-Herzegowina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Bosnien-Herzegowina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Eine Rückkehr nach Bosnien und Herzegowina erweist sich unter Berücksichtigung der politischen Lage, der Menschenrechtssituation und der allgemeinen Lebensumstände - es besteht keine Situation von Krieg, Bürgerkrieg oder allgemeiner Gewalt, welche eine konkrete Gefährdung der Beschwerdeführenden bewirken würde - als zumutbar.</w:t>
      </w:r>
    </w:p>
    <w:p>
      <w:r>
        <w:rPr>
          <w:b/>
        </w:rPr>
        <w:t>E. 7.6</w:t>
      </w:r>
    </w:p>
    <w:p>
      <w:r>
        <w:t>Auch die individuellen Vorbringen der Beschwerdeführenden vermögen an dieser Einschätzung nichts zu ändern. Gemäss Aktenlage hat der Beschwerdeführer zusammen mit seiner Mutter Unterstützung im Rahmen eines Wiederaufbauprojektes in Anspruch genommen und das Familienhaus am Vorkriegswohnort wieder beziehen können. Nichts anderes ist dem als Beweisstück eingereichten Dokument aus dem Jahr 2008 zu entnehmen. Aus diesem Grunde wurde ihm der Vertriebenenstatus in der Föderation entzogen (vgl. Vorakten, Beweismittelverzeichnis, Ziff. 4). Der Beschwerdeführer verfügt damit über ein Heim, das er nach eigenen Angaben auch bewohnte. Mit Tagelöhnerarbeit habe er den Unterhalt für sich und seine Ehefrau bestritten. Auch wenn nicht in Abrede gestellt werden soll, dass die Situation für Minderheitenrückkehrende in die jeweils andere bosnische Entität mit Schwierigkeiten verbunden sein kann, so leitet sich aus diesem Umstand für die Beschwerdeführenden keine Ursache für die Unzumutbarkeit des Wegweisungsvollzugs ab. Auch hier gilt das unter E.5.3 Gesagte: Der Beschwerdeführer könnte sich um Unterstützung an die lokalen Behörden wenden. Diese sind per Gesetz verpflichtet, allen Staatsangehörigen Bosnien-Herzegowinas die gleiche Rechtsposition zuteil werden zu lassen. Davon abgesehen steht es den Beschwerdeführenden auch frei, sich in einem anderen Teil des Landes niederzulassen, in dem sich allenfalls bessere Berufs- und Lebenschancen eröffnen. Das geltend gemachte Zerwürfnis mit der Familie der Beschwerdeführerin hindert die Beschwerdeführenden nicht daran, gegebenenfalls in der Föderation Bosnien und Herzegowina ein neues Leben aufzubauen.</w:t>
      </w:r>
    </w:p>
    <w:p>
      <w:r>
        <w:rPr>
          <w:b/>
        </w:rPr>
        <w:t>E. 7.7</w:t>
      </w:r>
    </w:p>
    <w:p>
      <w:r>
        <w:t>Auch die medizinischen Vorbringen können eine Unzumutbarkeit des Wegweisungsvollzugs nicht begründen. Zweifellos hat der Beschwerdeführer während des Bürgerkriegs eine schwere Verletzung erlitten. Die nötige Nachfolgebehandlung kann jedoch - anders als in der Beschwerde behauptet - auch im Heimatland erfolgen, was nicht zuletzt auch aus dem als Beweismittel eingereichten Schreiben des Leitenden Arztes der [Spital] vom 16. März 2015 hervorgeht (vgl. Vorakten, Beweismittelverzeichnis, Ziff. 2). Die behandelnden Ärzte halten auch die gesundheitliche Situation der Beschwerdeführerin inzwischen für stabil. Der postoperative Verlauf nach dem Schwangerschaftsabbruch war unauffällig, die psychische Situation der Beschwerdeführerin hat sich stabilisiert. Das Gericht anerkennt, dass sich die Beschwerdeführerin hinsichtlich ihrer Schwangerschaft und dem folgenden Abbruch in einer schlechten psychischen Verfassung befand (vgl. Vorakten, Beweismittelverzeichnis, Ziff. 1). Diesem Umstand war auch im Asylverfahren Rechnung zu tragen. Allerdings hat die Beschwerdeführerin ihr Kind nicht wie von ihr angegeben durch Stress oder aufgrund der Bedrohung durch die Serben am Wohnort verloren, sondern es lag eine Chromosomenschädigung vor. Die Verarbeitung dieses Verlustes ist - wie von der Vorinstanz richtig festgestellt - jedoch auch im Herkunftsland möglich. Aus diesen Erwägungen hält das Bundesverwaltungsgericht den Vollzug der Wegweisung für zumutbar.</w:t>
      </w:r>
    </w:p>
    <w:p>
      <w:r>
        <w:rPr>
          <w:b/>
        </w:rPr>
        <w:t>E. 7.8</w:t>
      </w:r>
    </w:p>
    <w:p>
      <w:r>
        <w:t>Die Beschwerdeführenden verfügen über Reisedokumente,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Anträge auf Gewährung der unentgeltlichen Rechtspflege sind abzuweisen, nachdem die Rechtsbegehren als aussichtslos zu würdigen waren (Art. 65 Abs. 1 VwVG, Art. 110a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