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D-2318/2024 vom 15. Mai 2024</w:t>
      </w:r>
    </w:p>
    <w:p>
      <w:r>
        <w:t>Bundesverwaltungsgericht, 2024-05-15, DE</w:t>
      </w:r>
    </w:p>
    <w:p>
      <w:r>
        <w:rPr>
          <w:b/>
        </w:rPr>
        <w:t xml:space="preserve">Quelle: </w:t>
      </w:r>
      <w:r>
        <w:t>https://mcp.opencaselaw.ch/entscheid/bvger_D-2318_2024</w:t>
      </w:r>
    </w:p>
    <w:p>
      <w:r>
        <w:t>FR: TAF D-2318/2024 du 15 mai 2024</w:t>
      </w:r>
    </w:p>
    <w:p>
      <w:r>
        <w:t>IT: TAF D-2318/2024 del 15 maggio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1 AsylG; Art. 48 Abs. 1 sowie Art. 52 Abs. 1 VwVG). Der Kostenvorschuss wurde fristgerecht bezahlt.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der Beschwerdeentscheid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w:t>
      </w:r>
    </w:p>
    <w:p>
      <w:r>
        <w:t>D-2318/2024 Seite 5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führte das SEM aus, der Beschwer- deführer mache Probleme mit Drittpersonen – den Angehörigen eines früheren Konkurrenten seines Vaters – geltend. Auch nachdem der Vater die Firma verkauft habe, habe der Konflikt weiter angedauert. Als Motiv dieser Leute habe er persönliche Rachsucht genannt; diese wollten ihm sein Leben wegnehmen. Er habe somit nicht geltend gemacht, wegen sei- ner Rasse, Religion, Nationalität, Zugehörigkeit zu einer bestimmten sozi- alen Gruppe oder wegen seiner politischen Anschauungen in den Fokus der betreffenden Personen geraten zu sein. Es fehle somit an einem der in Art. 3 Abs. 1 AsylG genannten Verfolgungsmotive. Weiter seien Übergriffe von Dritten nur dann flüchtlingsrechtlich relevant, wenn der Staat nicht schutzwillig oder nicht schutzfähig sei. Es müsse eine funktionierende Schutzinfrastruktur bestehen, zu welcher die verfolgte Person Zugang habe und deren Inanspruchnahme ihr zumutbar sei. Vorliegend habe sich der Beschwerdeführer bereits zuvor an die türkischen Strafverfolgungsbe- hörden wenden können und er habe die Möglichkeit, dies bei Bedarf auch in Zukunft zu tun. Der Umstand, dass die von ihm unternommenen Schritte nicht immer das gewünschte Resultat gezeigt hätten, deute weder auf feh- lende Schutzfähigkeit noch auf mangelnden Schutzwillen der Behörden hin. Vielmehr seien seine Anzeigen entgegengenommen und Anstrengun- gen unternommen worden, um den Streit zu schlichten oder den Sachver- halt zu ermitteln. Es sei ihm daher zumutbar und möglich, die heimatlichen Behörden um Schutz zu ersuchen, weshalb er nicht auf den Schutz der Schweiz angewiesen sei. Ferner handle es sich bei den geltend gemachten</w:t>
      </w:r>
    </w:p>
    <w:p>
      <w:r>
        <w:t>D-2318/2024 Seite 6 Nachteilen um lokal oder regional beschränkte Verfolgungsmassnahmen, zumal seine Feinde aus derselben Kreisstadt stammten wie er. Auch wenn diese ihn in D._______ ausfindig gemacht hätten, spreche dies nicht da- gegen, dass er sich allfälligen Verfolgungshandlungen durch einen neuer- lichen Wegzug in einen anderen Landesteil hätte entziehen können.</w:t>
      </w:r>
    </w:p>
    <w:p>
      <w:r>
        <w:rPr>
          <w:b/>
        </w:rPr>
        <w:t>E. 5.2</w:t>
      </w:r>
    </w:p>
    <w:p>
      <w:r>
        <w:t>In der Beschwerde wurde geltend gemacht, der Beschwerdeführer stamme aus einem Land, in welchem das alltägliche Leben immer noch stark durch Traditionen, Gebräuche und Sitten bestimmt werde. Bei Strei- tigkeiten zwischen Angehörigen verschiedener «Clans» komme es oft zu Racheaktionen, insbesondere wenn Blut vergossen worden sei. Daraus entstünden Fehden, die viele Jahre lang andauerten; oft gehe es in erster Linie um die Wiederherstellung der «Ehre». Die Rolle des Staates sei bei solchen Konflikten sehr gering. Auch wenn gemäss dem Strafrecht gegen die Parteien vorgegangen werde, lasse sich das gegenseitige Blutvergies- sen nicht verhindern und die betroffenen Personen könnten nicht geschützt werden. Entsprechend spielten die Schutzfähigkeit sowie der Schutzwille der türkischen Behörden vorliegend kaum eine Rolle. Der Beschwerdefüh- rer und sein Vater seien von den Angehörigen einer Konkurrenzfirma mit dem Tod bedroht worden. Es sei mehrmals zu Handgreiflichkeiten gekom- men und die getätigten Anzeigen hätten nichts gebracht. Ihre Feinde hätten sie bis nach D._______ verfolgt, wobei sie es hauptsächlich auf den Be- schwerdeführer abgesehen hätten. Aus Angst, von seinen Feinden ange- griffen oder gar getötet zu werden, habe er zeitweise das Haus nicht mehr verlassen. Er sei somit einer nichtstaatlichen Verfolgung ausgesetzt gewe- sen. In einem Grundsatzurteil habe sich die ehemalige Asylrekurskommis- sion (ARK) für einen Wechsel zur Schutztheorie entschieden, weshalb ihm im Sinne dieses Urteils Schutz zu gewähren sei. Ferner treffe es nicht zu, dass eine innerstaatliche Fluchtalternative bestehe, zumal seine Feinde ihn auch in D._______ gefunden hätten. Sie wollten an ihm Rache nehmen und würden seinen Aufenthaltsort stets irgendwie ausfindig machen, wobei der türkische Staat nicht in der Lage sei, ihn zu schützen. Zudem sei ein von ihm gestellter Schutzantrag abgelehnt worden. Der Beschwerdeführer stehe nach wie vor im Visier seiner Feinde und es müsse davon ausgegan- gen werden, dass diese ihre Drohungen umsetzen würden, sofern er in die Türkei zurückkehrte.</w:t>
      </w:r>
    </w:p>
    <w:p>
      <w:r>
        <w:rPr>
          <w:b/>
        </w:rPr>
        <w:t>E. 6.1</w:t>
      </w:r>
    </w:p>
    <w:p>
      <w:r>
        <w:t>Nach Lehre und Rechtsprechung erfüllt eine asylsuchende Person die Flüchtlingseigenschaft im Sinne von Art. 3 AsylG, wenn sie Nachteile von bestimmter Intensität erlitten hat, beziehungsweise solche mit beachtlicher</w:t>
      </w:r>
    </w:p>
    <w:p>
      <w:r>
        <w:t>D-2318/2024 Seite 7 Wahrscheinlichkeit und in absehbarer Zukunft befürchten muss, sofern ihr die Nachteile gezielt und aufgrund eines der in Art. 3 Abs. 1 AsylG aufge- zählten Verfolgungsmotive zugefügt worden sind, respektive zugefügt zu werden drohen. Aufgrund der Subsidiarität des flüchtlingsrechtlichen Schutzes setzt die Anerkennung der Flüchtlingseigenschaft ausserdem vo- raus, dass die betroffene Person in ihrem Heimat- oder Herkunftsstaat kei- nen ausreichenden Schutz finden kann (vgl. BVGE 2008/12 E. 5.1). Eine Garantie für langfristigen individuellen Schutz der von nichtstaatlicher Ver- folgung bedrohten Person kann dabei nicht verlangt werden. Es kann kei- nem Staat gelingen, seinen Bürgerinnen und Bürgern jederzeit und überall absolute Sicherheit zu gewährleisten. Demgegenüber muss der Staat über eine funktionierende und effiziente Schutzinfrastruktur verfügen, deren In- anspruchnahme der betroffenen Person objektiv möglich und individuell zumutbar sein muss (vgl. BVGE 2011/51 E. 7.3 f.; 2008/4 E. 5.2 m.H.).</w:t>
      </w:r>
    </w:p>
    <w:p>
      <w:r>
        <w:rPr>
          <w:b/>
        </w:rPr>
        <w:t>E. 6.2</w:t>
      </w:r>
    </w:p>
    <w:p>
      <w:r>
        <w:t>Der Beschwerdeführer macht geltend, er sei von den Angehörigen des Inhabers einer ehemaligen Konkurrenzfirma mit dem Tod bedroht worden. Der Konflikt habe angedauert, obwohl sein Vater das betreffende Unter- nehmen im Jahr 2015 oder 2016 verkauft habe. Es sei der Gegenseite um Rache gegangen und ihr Ziel sei es, ihm sein Leben wegzunehmen (vgl. SEM-Akte […] -16/16 [nachfolgend Akte 16], F107 und F117). Bei die- sem Vorbringen ist keines der in Art. 3 Abs. 1 AsylG genannten Verfol- gungsmotive erkennbar. Auch in der Beschwerde wird nicht geltend ge- macht, die Verfolgungshandlungen seien auf ein flüchtlingsrechtlich rele- vantes Motiv zurückzuführen. Es wird vielmehr vorgebracht, dem Be- schwerdeführer sei aufgrund des Wechsels zur Schutztheorie in Fällen von nichtstaatlicher Verfolgung in der Schweiz Schutz zu gewähren. Damit wird indessen verkannt, dass es im zitierten Urteil der damaligen ARK vom</w:t>
      </w:r>
    </w:p>
    <w:p>
      <w:r>
        <w:rPr>
          <w:b/>
        </w:rPr>
        <w:t>E. 6.3</w:t>
      </w:r>
    </w:p>
    <w:p>
      <w:r>
        <w:t>Das Bundesverwaltungsgericht geht in ständiger Rechtsprechung da- von aus, dass die türkischen Behörden willens und in der Lage sind, Schutz vor Verfolgung durch Dritte zu gewähren und eine funktionierende Schutz- infrastruktur zur Verfügung zu stellen (vgl. statt vieler Urteile des BVGer D-6861/2023 vom 25. April 2024 E. 7.3 und D-1725/2024 vom 23. April</w:t>
      </w:r>
    </w:p>
    <w:p>
      <w:r>
        <w:t>D-2318/2024 Seite 8 2024 S. 5, je m.H.). Trotz der entsprechenden Ausführungen in der Be- schwerde gilt dies auch in Fällen von drohenden Nachteilen aufgrund von «Blutrache» (vgl. etwa Urteile des BVGer E-5699/2023 vom 28. März 2024 E. 6.3 und D-6350/2023 vom 4. Januar 2024 S. 4 f.). Dem Beschwerdefüh- rer war es bei konkreten Vorfällen denn auch stets möglich, bei der Polizei Anzeige zu erstatten. Zwar sei ein Schutzantrag von der Staatsanwalt- schaft abgelehnt worden; ein solcher stehe – gemäss Auskunft seines An- walts – nur Frauen offen (vgl. Akte 16, F102 f.). Daraus lässt sich aber nicht ableiten, dass der türkische Staat grundsätzlich nicht schutzwillig wäre. Im Übrigen ist festzuhalten, dass die Probleme mit seinen Feinden bereits seit vielen Jahren andauern und es bereits im Jahr 2013 zu ersten Auseinan- dersetzungen kam (vgl. Akte 16, F74). Der Beschwerdeführer berichtete zudem von einem handgreiflichen Streit bei der Hochzeit seiner Schwester sowie einem weiteren Vorfall im Jahr 2022 (vgl. Akte 16, F73 und F78). Daneben sei es zu zahlreichen Drohungen gekommen, teilweise auch über die sozialen Medien. Es ist jedoch nicht ersichtlich, dass der Beschwerde- führer in diesem rund ein Jahrzehnt andauernden Konflikt bislang Nach- teile erlitten hätte, welche die erforderliche Intensität erreichen würden, um als asylrechtlich relevant eingestuft zu werden. Aus seinen Ausführungen geht nicht klar hervor, weshalb er befürchtete, dass sich dies in absehbarer Zukunft ändern würde. Auf die Frage, weshalb er schliesslich ausgereist sei, gab er an, er sei bedroht und beschimpft worden und habe in den letz- ten Monaten «ein Chaos im Kopf gehabt», nachdem er weiterhin und auch in D._______ verfolgt worden sei (vgl. Akte 16, F83 und F86). Inwiefern sich die Bedrohungslage verschärft und ihm nun aufgrund dieses bereits seit Jahren bestehenden Streits eine unmittelbare Gefahr gedroht hätte, wird daraus nicht ersichtlich.</w:t>
      </w:r>
    </w:p>
    <w:p>
      <w:r>
        <w:rPr>
          <w:b/>
        </w:rPr>
        <w:t>E. 6.4</w:t>
      </w:r>
    </w:p>
    <w:p>
      <w:r>
        <w:t>Zu Recht hat die Vorinstanz sodann festgestellt, dass es sich bei der geltend gemachten Bedrohung um ein lokal begrenztes Problem handelt, welchem sich der Beschwerdeführer durch ein innerstaatliches Auswei- chen entziehen kann. Seine Feinde stammten ebenfalls aus B._______ und wohnten nach wie vor dort (vgl. Akte 16, F98). Allein aus dem Um- stand, dass sie ihn auch in D._______ aufgefunden hätten, lässt sich nicht ableiten, er könnte an jedem Ort in der Türkei aufgespürt werden. In der Beschwerde wird diesbezüglich lediglich geltend gemacht, es spiele keine Rolle, wo in der Türkei er sich aufhalte, seine Feinde würden seinen Auf- enthaltsort immer «irgendwann, irgendwie» ausfindig machen. Diese vage Behauptung ist nicht geeignet, um von einer drohenden Verfolgung auszu- gehen, die sich mit erheblicher Wahrscheinlichkeit und in absehbarer Zu- kunft verwirklichen würde. Es ist vielmehr anzunehmen, dass es dem</w:t>
      </w:r>
    </w:p>
    <w:p>
      <w:r>
        <w:t>D-2318/2024 Seite 9 Beschwerdeführer möglich gewesen wäre, sich an einem anderen Ort in der Türkei niederzulassen, ohne dass ihn seine Feinde überall hin verfol- gen würden. Es handelt sich bei ihm um einen gesunden jungen Mann, welcher über einen gymnasialen Schulabschluss sowie verschiedene be- rufliche Erfahrungen verfügt. Entsprechend kann davon ausgegangen wer- den, dass es für ihn zumutbar gewesen wäre, sich an einem Ort ausserhalb seiner Herkunftsregion eine Existenz aufzubauen.</w:t>
      </w:r>
    </w:p>
    <w:p>
      <w:r>
        <w:rPr>
          <w:b/>
        </w:rPr>
        <w:t>E. 6.5</w:t>
      </w:r>
    </w:p>
    <w:p>
      <w:r>
        <w:t>Zusammenfassend ist festzuhalten, dass der Beschwerdeführer eine private Verfolgung durch nichtstaatliche Dritte geltend macht, welche nicht auf einem der in Art. 3 Abs. 1 AsylG aufgeführten Verfolgungsmotive be- ruht. Darüber hinaus ist der türkische Staat als schutzfähig und schutzwillig zu erachten und es wäre dem Beschwerdeführer möglich und zumutbar gewesen, sich allfälligen zukünftig drohenden Verfolgungsmassnahmen durch einen Umzug innerhalb seines Heimatlandes zu entziehen. Schliess- lich gibt es angesichts des jahrelangen Konflikts, der für ihn zu keinem Zeit- punkt Nachteile von ausreichender Intensität nach sich gezogen hat, keine genügenden Anhaltspunkte dafür, dass sich die geltend gemachte Bedro- hung in absehbarer Zukunft verwirklicht hätte. Der Beschwerdeführer hat somit nichts vorgebracht, was geeignet wäre, seine Flüchtlingseigenschaft nachzuweisen oder zumindest glaubhaft zu machen. Die Vorinstanz hat sein Asylgesuch folglich zu Recht abgelehnt. 7. 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ebenfalls zu Recht angeordnet.</w:t>
      </w:r>
    </w:p>
    <w:p>
      <w:r>
        <w:rPr>
          <w:b/>
        </w:rPr>
        <w:t>E. 7</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ebenfalls zu Recht angeordnet.</w:t>
      </w:r>
    </w:p>
    <w:p>
      <w:r>
        <w:rPr>
          <w:b/>
        </w:rPr>
        <w:t>E. 8</w:t>
      </w:r>
    </w:p>
    <w:p>
      <w:r>
        <w:t>Juni 2006 um eine Person ging, welcher aufgrund eines flüchtlingsrecht- lich relevanten Motivs erhebliche Nachteile durch eine nichtstaatliche Or- ganisation zugefügt worden waren. Der Entscheid hält weiter ausdrücklich fest, nichtstaatliche Verfolgung vermöge nur dann zur Anerkennung der Flüchtlingseigenschaft zu führen, wenn der Asylsuchende dem Schutz des Heimatlandes nicht beanspruchen könne (vgl. Entscheide und Mitteilungen der ARK [EMARK] 2006 Nr. 196 E. 6.2 und 10).</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t>D-2318/2024 Seite 10</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der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keine Anwendung finden.</w:t>
      </w:r>
    </w:p>
    <w:p>
      <w:r>
        <w:rPr>
          <w:b/>
        </w:rPr>
        <w:t>E. 8.2.3</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ihm – unter Hinweis auf die obenstehenden Erwägungen zur Flüchtlingseigenschaft und zum Asylpunkt – jedoch nicht gelungen. Auch die allgemeine Menschenrechtssituation im Heimatstaat lässt den Wegweisungsvollzug zum heutigen Zeitpunkt nicht unzulässig er- scheinen. Der Vollzug der Wegweisung ist damit sowohl im Sinne der asyl- als auch der völkerrechtlichen Bestimmungen zulässig.</w:t>
      </w:r>
    </w:p>
    <w:p>
      <w:r>
        <w:t>D-2318/2024 Seite 11</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Gemäss konstanter Praxis ist in der Türkei nicht von einer flächende- ckenden Situation allgemeiner Gewalt oder bürgerkriegsähnlichen Verhält- nissen auszugehen. Die allgemeine Sicherheitslage steht einem Vollzug der Wegweisung des Beschwerdeführers in seinen Heimatstaat somit nicht entgegen (vgl. etwa Urteil des BVGer D-1011/2024 vom 16. April 2024 E. 9.3.2 m.H.).</w:t>
      </w:r>
    </w:p>
    <w:p>
      <w:r>
        <w:rPr>
          <w:b/>
        </w:rPr>
        <w:t>E. 8.3.3</w:t>
      </w:r>
    </w:p>
    <w:p>
      <w:r>
        <w:t>Der Beschwerdeführer stammt ursprünglich aus der Provinz C._______, welche vom schweren Erbeben im Februar 2023 stark betrof- fen war. Zuletzt lebte er indessen mit seiner Familie in D._______, weshalb er das Erdbeben nicht direkt miterlebte (vgl. Akte 16, F30 und F33). Zudem hat sich das Bundesverwaltungsgericht in seinem Urteil E-1308/2023 vom 19. März 2024 einlässlich mit der Situation im Erdbebengebiet auseinan- dergesetzt. Dabei kam es zum Schluss, der Vollzug der Wegweisung in die betroffenen Regionen sei nicht generell unzumutbar. Vielmehr sei die indi- viduelle Situation der Asylsuchenden im Einzelfall zu prüfen, wobei der Lage von vulnerablen Personen gebührend Rechnung zu tragen sei (vgl. Urteil E-1308/2023 vom 19. März 2024 E. 11.2 f.). Der Beschwerde- führer ist jung und gesund, verfügt über eine gute Schulbildung sowie Ar- beitserfahrung. Zudem leben in der Türkei neben seinen Eltern und Ge- schwistern auch verschiedene weitere Verwandte (vgl. Akte 16, F56 ff.). Er hat somit ein familiäres Beziehungsnetz, welches ihn bei Bedarf unterstüt- zen könnte. Seine Familie besass vor dem Erdbeben offenbar verschie- dene Immobilien (vgl. Akte 16, F29), was darauf schliessen lässt, dass sie wirtschaftlich gut situiert ist. Ferner ergeben sich aus den Akten auch keine Hinweise auf eine individuelle Vulnerabilität. Insgesamt erweist sich der Vollzug der Wegweisung daher als zumutbar.</w:t>
      </w:r>
    </w:p>
    <w:p>
      <w:r>
        <w:rPr>
          <w:b/>
        </w:rPr>
        <w:t>E. 8.4</w:t>
      </w:r>
    </w:p>
    <w:p>
      <w:r>
        <w:t>Der Beschwerdeführer verfügt über eine türkische Identitätskarte. Es obliegt ihm, sich bei der zuständigen Vertretung des Heimatstaates die für eine Rückkehr notwendigen Reisedokumente zu beschaffen (vgl. Art. 8 Abs. 4 AsylG und dazu auch BVGE 2008/34 E. 12), weshalb der Vollzug der Wegweisung auch als möglich zu bezeichnen ist (Art. 83 Abs. 2 AIG).</w:t>
      </w:r>
    </w:p>
    <w:p>
      <w:r>
        <w:t>D-2318/2024 Seite 12</w:t>
      </w:r>
    </w:p>
    <w:p>
      <w:r>
        <w:rPr>
          <w:b/>
        </w:rPr>
        <w:t>E. 8.5</w:t>
      </w:r>
    </w:p>
    <w:p>
      <w:r>
        <w:t>Zusammenfassend ist festzustellen, dass die Vorinstanz den Wegwei- sungsvollzug zu Recht als zulässig, zumutbar und möglich bezeichnet hat. Eine Anordnung der vorläufigen Aufnahme fällt somit ausser Betracht (Art. 83 Abs. 1–4 AIG).</w:t>
      </w:r>
    </w:p>
    <w:p>
      <w:r>
        <w:rPr>
          <w:b/>
        </w:rPr>
        <w:t>E. 9</w:t>
      </w:r>
    </w:p>
    <w:p>
      <w:r>
        <w:t>Aus diesen Erwägungen ergibt sich, dass die angefochtene Verfügung Bundesrecht nicht verletzt, den rechtserheblichen Sachverhalt richtig und vollständig feststellt und – soweit diesbezüglich überprüfbar – angemessen ist. Die Beschwerde ist demnach abzuweisen.</w:t>
      </w:r>
    </w:p>
    <w:p>
      <w:r>
        <w:rPr>
          <w:b/>
        </w:rPr>
        <w:t>E. 10</w:t>
      </w:r>
    </w:p>
    <w:p>
      <w:r>
        <w:t>Bei diesem Ausgang des Verfahrens sind die Kosten des Verfahrens dem Beschwerdeführer aufzuerlegen (Art. 63 Abs. 1 und 5 VwVG) und auf Fr. 750.– festzusetzen (Art. 1–3 des Reglements vom 21. Februar 2008 über die Kosten und Entschädigungen vor dem Bundesverwaltungsgericht [VGKE, SR 173.320.2] i.V.m. Art. 16 Abs. 1 Bst. a VGG). Der am 26. April 2024 in gleicher Höhe geleistete Kostenvorschuss ist zur Bezahlung der Verfahrenskosten zu verwenden.</w:t>
      </w:r>
    </w:p>
    <w:p>
      <w:r>
        <w:t>(Dispositiv nächste Seite)</w:t>
      </w:r>
    </w:p>
    <w:p>
      <w:r>
        <w:t>D-2318/2024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