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D-2312/2009 vom 28. Oktober 2011</w:t>
      </w:r>
    </w:p>
    <w:p>
      <w:r>
        <w:t>Bundesverwaltungsgericht, 2011-10-28, DE</w:t>
      </w:r>
    </w:p>
    <w:p>
      <w:r>
        <w:rPr>
          <w:b/>
        </w:rPr>
        <w:t xml:space="preserve">Quelle: </w:t>
      </w:r>
      <w:r>
        <w:t>https://mcp.opencaselaw.ch/entscheid/bvger_D-2312_2009</w:t>
      </w:r>
    </w:p>
    <w:p>
      <w:r>
        <w:t>FR: TAF D-2312/2009 du 28 octobre 2011</w:t>
      </w:r>
    </w:p>
    <w:p>
      <w:r>
        <w:t>IT: TAF D-2312/2009 del 28 ottobre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3</w:t>
      </w:r>
    </w:p>
    <w:p>
      <w:r>
        <w:t>Die Verneinung der Flüchtlingseigenschaft, die Ablehnung der Asylge­suche sowie die Wegweisung an sich blieben vorliegend unangefochten und sind mit Ablauf der Beschwerdefrist in Rechtskraft erwachsen. Gegenstand des vorliegenden Beschwerdeverfahrens bildet somit einzig (wie in der Beschwerde beantragt) die Frage des Vollzugs der Wegweisung (Art. 44 AsylG).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4.2.1</w:t>
      </w:r>
    </w:p>
    <w:p>
      <w:r>
        <w:t>Keine Person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 A FK erfüllen. Nachdem das BFM in seiner Verfügung vom 11. März 2009 rechtskräftig festgestellt hat, dass die Beschwerdeführenden die Flüchtlingseigenschaft nicht erfüllen, kann das Prinzip des flüchtlingsrechtlichen Rückschiebungsverbots vorliegend nicht zur Anwendung gelangen. Der Vollzug der Wegweisung der Beschwerdeführenden ist daher unter dem Aspekt von Art. 5 AsylG rechtmässig.</w:t>
      </w:r>
    </w:p>
    <w:p>
      <w:r>
        <w:rPr>
          <w:b/>
        </w:rPr>
        <w:t>E. 4.2.2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ihren Heimatstaat respektive in die hier in Betracht fallende Provinzhauptstadt Herat (vgl. auch E. 4.3. unten)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der Rückschiebung Folter oder unmenschliche Behandlung drohen würde (vgl. EGMR [Grosse Kammer] Saadi gegen Italien, Urteil vom 28. Februar 2008 Beschwerde Nr. 37201/06, §§ 124 bis 127, mit weiteren Hinweisen). Dies ist ihnen in casu nicht gelungen.</w:t>
      </w:r>
    </w:p>
    <w:p>
      <w:r>
        <w:rPr>
          <w:b/>
        </w:rPr>
        <w:t>E. 4.2.3</w:t>
      </w:r>
    </w:p>
    <w:p>
      <w:r>
        <w:t>Der Vollzug der Wegweisung ist somit sowohl im Sinne der asylgesetzlichen als auch der völkerrechtlichen Bestimmungen zulässig.</w:t>
      </w:r>
    </w:p>
    <w:p>
      <w:r>
        <w:rPr>
          <w:b/>
        </w:rPr>
        <w:t>E. 4.3</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Die vormalige Schweizerische Asylrekurskommission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Entscheidungen und Mitteilungen der ARK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Rechtsprechung der ARK wurde vom Bundesverwaltungsgericht bis anhin im Wesentlichen weitergeführt.</w:t>
      </w:r>
    </w:p>
    <w:p>
      <w:r>
        <w:rPr>
          <w:b/>
        </w:rPr>
        <w:t>E. 4.3.2</w:t>
      </w:r>
    </w:p>
    <w:p>
      <w:r>
        <w:t>Aufgrund einer zunehmenden Verschlechterung der Verhältnisse in Afghanistan unterzog das Bundesverwaltungsgericht die bisherige Praxis einer eingehenden Prüfung. Dabei gelangte das Bundesverwaltungsgericht im Rahmen einer erneuten Lageanalyse zum Schluss, dass im Verlauf der letzten Jahre die allgemeine Sicherheitslage in Afghanistan über alle Regionen hinweg - inklusive der urbanen Zentren und der Hauptstadt Kabul - deutlich schlechter geworden ist (vgl. dazu zur Publikation vorgesehenes Urteil BVGE E-7625/2008 vom 16. Juni 2011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9.8 -9.9). Unter Berücksichtigung der gesamten Umstände erachtet das Bundesverwaltungsgericht den Wegweisungsvollzug nach Afghanistan nunmehr nur dann als zumutbar, wenn sich im Einzelfall erweist, dass die betroffene Person in Kabul sozial vernetzt ist, sie also dort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AuG auszugehen ist.</w:t>
      </w:r>
    </w:p>
    <w:p>
      <w:r>
        <w:rPr>
          <w:b/>
        </w:rPr>
        <w:t>E. 4.3.3.1</w:t>
      </w:r>
    </w:p>
    <w:p>
      <w:r>
        <w:t>Die Beschwerdeführenden stammen aus der Stadt Herat, weshalb zu prüfen ist, ob ihnen die Rückkehr dorthin zuzumuten ist. Eine Situation allgemeiner Gewalt führt in einem Land nicht automatisch zur Annahme einer konkreten Gefährdung, vielmehr muss die betroffene Person darlegen, dass die Situation für sie eine konkrete Gefährdung darstellt. Mithin ist in der Regel eine Einzelfallbeurteilung unter Berücksichtigung der individuellen Lebensumstände der betroffenen Person vorzunehmen (vgl. Ruedi Illes, zu Art. 83 AuG, in: Martina Caroni / Thomas Gächter / Daniela Thurnherr [Hrsg.]: Bundesgesetz über die Ausländerinnen und Ausländer [AuG], Bern 2010, S. 799, Rz. 33.). Zwar ist von einer Verschlechterung der Sicherheitslage im Westen Afghanistans in den letzten Jahren auszugehen und gerade auch in der Provinz Herat ist die Zahl sicherheitsrelevanter Ereignisse angestiegen (vgl. SFH-Länderanalyse: Afghanistan: Sicherheitslage in Herat, Bern, 05.05.2010). Die Situation in der Stadt Herat wird aber in neuesten Berichten, auch im Vergleich mit anderen afghanischen Städten, als verhältnismässig ruhig beschrieben (vgl. Afghanistan NGO Safety Office [ANSO], ANSO Reports, June 2011 [16 - 30] S. 13 und July 2011 [16 - 31] S. 15; Congressional Research Service, Afghanistan: Post-Taliban Governance, Security, and U.S. Policy, June 3, 2011, S. 37). Zwar haben die Aktivitäten der Aufständischen seit dem Jahr 2009 in mindestens zehn Bezirken der Provinz Herat zugenommen (vgl. Institute for War &amp; Peace Reporting [IWPR], Alarm at Wave of Attacks in Herat, 09.11.2010), doch ist die Zahl der Angriffe in der Stadt selbst eher gering geblieben (New York Times, "Taliban Attack in Herat, Far From their Usual Areas", 30.05.2011). So kamen am 27. September 2009 beim ersten von insgesamt fünf bis Ende Mai 2011 registrierten Vorfällen - einem Selbstmordattentat auf Ismail Khan, den afghanischen Energieminister und früheren Gouverneur der Provinz Herat - vier seiner Leibwächter ums Leben, als sich dieser auf dem Weg von der Stadt zum Flughafen befand (vgl. http://en.wikipedia.org/wiki/Ismail_Khan, aufgesucht: 07.09.2011). Bei einem Anschlag durch vier Selbstmordattentäter auf die Anlage der Unterstützungsmission der Vereinten Nationen in Afghanistan (UNAMA) in der Stadt am 23. Oktober 2010 wurde niemand getötet (vgl. IWPR, a.a.O., 09.11.2010). Am 3. Januar 2011 wurden bei einer Explosion in der Stadt ein Zivilist getötet und fünf weitere Personen, darunter ein Polizist, verletzt (vgl. http://reliefweb.int/node/379570, aufgesucht: 07.09.2011). Mindestens vier Todesopfer und mehrere Verletzte, darunter fünf italienische Armeeangehörige, waren schliesslich am 30. Mai 2011 bei den letzten beiden registrierten Anschlägen zu verzeichnen, wovon der eine den Stützpunkt eines regionalen Wiederaufbauteams unter italienischer Führung in der Agglomeration zum Ziel hatte (vgl. http://www.spiegel.de/politik/ausland/0,1518,765623,00.html, aufgesucht: 07.09.2011). Seit Juni 2011 sind in der Stadt selbst keine Aktivitäten durch bewaffnete Gruppen von Oppositionellen mehr zu verzeichnen. Am 21. Juli 2011 wurde die gesamte Verantwortung für die Sicherheit in der Stadt wie geplant von der Internationalen Sicherheitsunterstützungstruppe (ISAF) auf die afghanischen Sicherheitskräfte übertragen. Der Abschluss des Prozesses der Übergabe der Sicherheitsverantwortung im ganzen Land ist bis Ende 2014 vorgesehen. Nach dem Gesagten richteten sich die registrierten Anschläge und Überfälle meist gegen afghanische und internationale Sicherheitskräfte, während Zivilisten selten und nur zufällig in Mitleidenschaft gezogen wurden. In Anbetracht dieser Umstände erscheint die Lage in der Stadt Herat mit derjenigen in Kabul vergleichbar, weshalb es nicht gerechtfertigt ist, von einer Situation allgemeiner Gewalt auszugehen. Zudem verfügt die Grossstadt Herat auch über einen Flughafen, der von Kabul und weiteren afghanischen Städten aus angeflogen wird; darüber hinaus stehen offenbar internationale Flugverbindungen in unmittelbarer Planung (vgl. http://en.wikipedia.org/wiki/Herat_Airfield; aufgesucht: 08.09.2011).</w:t>
      </w:r>
    </w:p>
    <w:p>
      <w:r>
        <w:rPr>
          <w:b/>
        </w:rPr>
        <w:t>E. 4.3.3.2</w:t>
      </w:r>
    </w:p>
    <w:p>
      <w:r>
        <w:t>Vorliegend ergeben sich aus den Akten zudem keine individuellen Umstände, welche es rechtfertigen würden, den Vollzug der Wegweisung der Beschwerdeführenden als unzumutbar zu qualifizieren. Sowohl der Beschwerdeführer als auch die Beschwerdeführerin sind noch relativ jung; beide verfügen über eine gewisse Schulbildung und leiden - soweit aktenkundig - an keinen schwerwiegenden gesundheitlichen Beeinträchtigungen. Der Beschwerdeführer war als Inhaber eines eigenen Geschäfts erwerbstätig. Beide besitzen in Herat ein umfangreiches und tragfähiges familiäres Beziehungsnetz (vgl. vorstehend Sachverhalt Bst. B), woraus geschlossen werden kann, dass sie auf die Unterstützung ihrer Familien sowohl hinsichtlich der Existenzsicherung als auch der Wohnsituation zählen können. Sodann lässt sich aus der eingereichten polizeilichen Vorladung vom (...), wonach der Beschwerdeführer auf dem Sicherheitsamt der Polizei zu erscheinen habe und gegen ihn gesetzliche Massnahmen ergriffen würden, keine konkrete Gefährdung seiner Person ableiten, nachdem in der vorinstanzlichen Verfügung vom 11. März 2009 festgestellt worden ist, dass die von ihm geltend gemachten Verfolgungsvorbringen den Anforderungen an die Glaubhaftigkeit nicht genügen. Mithin ist in casu der Wegweisungsvollzug nach Herat auch im Lichte der aktuellen Rechtsprechung zu Afghanistan sowohl in genereller als auch in individueller Hinsicht als zumutbar zu erachten.</w:t>
      </w:r>
    </w:p>
    <w:p>
      <w:r>
        <w:rPr>
          <w:b/>
        </w:rPr>
        <w:t>E. 4.4</w:t>
      </w:r>
    </w:p>
    <w:p>
      <w:r>
        <w:t>Schliesslich obliegt es den Beschwerdeführenden, sich bei der zuständigen Vertretung ihres Heimatstaates die für eine Rückkehr notwendigen Reisepapiere zu beschaffen (Art. 8 Abs. 4 AsylG; vgl. auch BVGE 2008/34 E. 12 S. 513 ff.), weshalb der Vollzug der Wegweisung auch als möglich zu bezeichnen ist.</w:t>
      </w:r>
    </w:p>
    <w:p>
      <w:r>
        <w:rPr>
          <w:b/>
        </w:rPr>
        <w:t>E. 4.5</w:t>
      </w:r>
    </w:p>
    <w:p>
      <w:r>
        <w:t>Insgesamt ist der durch die Vorinstanz verfügte Vollzug der Wegweisung zu bestätigen. Das BFM hat diesen zu Recht als zulässig, zumutbar und möglich erachtet. Nach dem Gesagten fällt eine Anordnung der vorläufigen Aufnahme ausser Betracht (Art. 83 Abs. 1 - 4 AuG).</w:t>
      </w:r>
    </w:p>
    <w:p>
      <w:r>
        <w:rPr>
          <w:b/>
        </w:rPr>
        <w:t>E. 5</w:t>
      </w:r>
    </w:p>
    <w:p>
      <w:r>
        <w:t>Zusammenfassend ergibt sich somit,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wären dessen Kosten den Beschwerdeführenden aufzuerlegen (Art. 63 Abs. 1 und 5 VwVG). Nachdem sich die Beschwerde jedoch zum Zeitpunkt ihrer Anhängigmachung nicht als aussichtslos erwiesen hat und aufgrund der Aktenlage nach wie vor von der prozessualen Bedürftigkeit der Beschwerdeführenden auszugehen ist, ist das in der Beschwerde vom 9. April 2009 gestellte Gesuch um Gewährung der unentgeltlichen Rechtspflege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