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D-2305/2023 vom 15. Mai 2025</w:t>
      </w:r>
    </w:p>
    <w:p>
      <w:r>
        <w:t>Bundesverwaltungsgericht, 2025-05-15, DE</w:t>
      </w:r>
    </w:p>
    <w:p>
      <w:r>
        <w:rPr>
          <w:b/>
        </w:rPr>
        <w:t xml:space="preserve">Quelle: </w:t>
      </w:r>
      <w:r>
        <w:t>https://mcp.opencaselaw.ch/entscheid/bvger_D-2305_2023</w:t>
      </w:r>
    </w:p>
    <w:p>
      <w:r>
        <w:t>FR: TAF D-2305/2023 du 15 mai 2025</w:t>
      </w:r>
    </w:p>
    <w:p>
      <w:r>
        <w:t>IT: TAF D-2305/2023 del 15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Die Be- schwerdeführerin ist als Verfügungsadressatin zur Einreichung der Be- schwerde legitimiert (Art. 105 und Art. 108 Abs. 6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t>D-2305/2023 Seite 5</w:t>
      </w:r>
    </w:p>
    <w:p>
      <w:r>
        <w:rPr>
          <w:b/>
        </w:rPr>
        <w:t>E. 3</w:t>
      </w:r>
    </w:p>
    <w:p>
      <w:r>
        <w:t>Das Bundesverwaltungsgericht berücksichtigt die Vorbringen in der ver- spätet eingereichten Replik gestützt auf Art. 32 Abs. 2 VwVG.</w:t>
      </w:r>
    </w:p>
    <w:p>
      <w:r>
        <w:rPr>
          <w:b/>
        </w:rPr>
        <w:t>E. 4.1</w:t>
      </w:r>
    </w:p>
    <w:p>
      <w:r>
        <w:t>In der Beschwerde wurden formelle Rügen erhoben, welche vorab zu behandeln sind, da sie gegebenenfalls geeignet sind, eine Kassation der vorinstanzlichen Verfügung zu bewirken.</w:t>
      </w:r>
    </w:p>
    <w:p>
      <w:r>
        <w:rPr>
          <w:b/>
        </w:rPr>
        <w:t>E. 4.2</w:t>
      </w:r>
    </w:p>
    <w:p>
      <w:r>
        <w:t>Die Beschwerdeführerin macht geltend, sie habe nie ein Dokument be- sessen, welches ausweise, sie sei seit dem Jahr 2013 verwitwet. Die Vorin- stanz habe dem Entscheid keine Kopie dieses Dokuments beigelegt und habe ihr zu diesem Widerspruch auch nicht die Gelegenheit einer Stellung- nahme gegeben. Dies stelle eine Verletzung ihres Anspruchs auf rechtli- ches Gehör sowie eine unvollständige Sachverhaltsermittlung dar. Ferner rügt sie eine Verletzung des Untersuchungsgrundsatzes, die sie darin er- blickt, dass die Botschaftsanfrage sich auf die Stadt Kinshasa konzentriert habe, welche sie jedoch bereits im Jahr 1978 verlassen habe.</w:t>
      </w:r>
    </w:p>
    <w:p>
      <w:r>
        <w:rPr>
          <w:b/>
        </w:rPr>
        <w:t>E. 4.3.1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dagegen, dass sich die Begründung mit allen Parteistandpunkten einläss- lich auseinandersetzt und jedes einzelne Vorbringen ausdrücklich wider- legt (vgl. BGE 143 III 65 E. 5.2).</w:t>
      </w:r>
    </w:p>
    <w:p>
      <w:r>
        <w:rPr>
          <w:b/>
        </w:rPr>
        <w:t>E. 4.3.2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w:t>
      </w:r>
    </w:p>
    <w:p>
      <w:r>
        <w:t>D-2305/2023 Seite 6 (vgl. dazu BENJAMIN SCHINDLER, in Auer/Müller/Schindler [Hrsg.], Kommen- tar zum Bundesgesetz über das Verwaltungsverfahren [VwVG], 2. Aufl. 2019, Rz. 29 zu Art. 49).</w:t>
      </w:r>
    </w:p>
    <w:p>
      <w:r>
        <w:rPr>
          <w:b/>
        </w:rPr>
        <w:t>E. 4.4</w:t>
      </w:r>
    </w:p>
    <w:p>
      <w:r>
        <w:t>In Bezug auf das Vorbringen, die Beschwerdeführerin sei nie im Besitz eines Dokumentes gewesen, welches ausweise, dass sie seit dem Jahr 2013 verwitwet sei, ist festzustellen, dass sie anlässlich der Anhörung vom</w:t>
      </w:r>
    </w:p>
    <w:p>
      <w:r>
        <w:rPr>
          <w:b/>
        </w:rPr>
        <w:t>E. 4.5</w:t>
      </w:r>
    </w:p>
    <w:p>
      <w:r>
        <w:t>Die Beschwerdeführerin rügt weiter, dass die Botschaftsanfrage in Kinshasa und nicht in Lubumbashi erfolgt sei. Die Botschaftsanfrage diente jedoch unter anderem der Abklärung, ob die Beschwerdeführerin entgegen ihrer Aussagen noch Verwandte im Kongo beziehungsweise in Kinshasa hat. Folglich ist keine Verletzung des Untersuchungsgrundsatzes ersicht- lich.</w:t>
      </w:r>
    </w:p>
    <w:p>
      <w:r>
        <w:rPr>
          <w:b/>
        </w:rPr>
        <w:t>E. 4.6</w:t>
      </w:r>
    </w:p>
    <w:p>
      <w:r>
        <w:t>Aufgrund der bis hierhin beurteilten formellen Rügen besteht keine Ver- anlassung für eine Kassation der angefochtenen Verfügung. 5. 5.1 In Bezug auf die Botschaftsanfrage rügt die Beschwerdeführerin, dass sowohl ihr Anspruch auf rechtliches Gehör als auch ihr Recht auf Aktenein- sicht verletzt worden sei, indem die Vorinstanz ihr weder die Anfrage an die Schweizer Botschaft in Kinshasa noch deren Antwort zur Einsicht vorgelegt habe, sondern ihr lediglich eine Zusammenfassung zur Kenntnis gebracht habe. 5.2 Aus dem Anspruch auf rechtliches Gehör resultiert der verfahrensrecht- liche Anspruch auf Akteneinsicht (Art. 26 VwVG). In jedem Verfahren kön- nen sich die Betroffenen nur dann wirksam zur Sache äussern und geeig- net Beweis führen beziehungsweise Beweismittel bezeichnen, wenn ihnen die Möglichkeit eingeräumt wird, die Unterlagen einzusehen, auf welche sich die Behörde stützt. Eine Einsichtsverweigerung kommt im beschränk- ten Rahmen von Art. 27 VwVG in Frage, wenn ein überwiegendes Inte- resse an deren Geheimhaltung vorhanden ist. Dies muss indes aufgrund einer konkreten, sorgfältigen und umfassenden Abwägung der entgegen- stehenden Interessen beurteilt werden, wobei der Grundsatz der</w:t>
      </w:r>
    </w:p>
    <w:p>
      <w:r>
        <w:t>D-2305/2023 Seite 7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 recht Rechnung zu tragen (vgl. Art. 27 f. VwVG). Wird einer Partei die Ein- sichtnahme in ein Aktenstück verweigert, muss ihr die Behörde indes von seinem wesentlichen Inhalt Kenntnis sowie die Gelegenheit geben, sich dazu zu äussern und Gegenbeweismittel zu bezeichnen (Art. 28 VwVG). 5.3 Eine Botschaftsanfrage und die entsprechende Auskunft der Botschaft stellen eine Einheit in dem Sinne dar, dass eine Botschaftsabklärung so- wohl die gestellten Fragen als auch die Antworten der schweizerischen Vertretung beinhaltet. Es handelt sich bei beiden Aktenstücken nicht um interne Akten; beide Dokumente unterstehen grundsätzlich dem Einsichts- recht (vgl. Entscheidungen und Mitteilungen der Schweizerischen Asylre- kurskommission [EMARK] 1994 Nr. 1 E. 3c), wobei entgegenstehende Ge- heimhaltungsinteressen unter Berücksichtigung des Grundsatzes der Ver- hältnismässigkeit die Einsicht einschränken und sensible Passagen abge- deckt oder zusammengefasst offengelegt werden können (vgl. Urteile des BVGer E-1059/2023 vom 7. Juni 2023; E. 6.3; D-4478/2019 vom 28. Ja- nuar 2020 E. 5.2,). So können Geheimhaltungsinteressen insbesondere in Bezug auf die Identität in- und ausländischer Informanten und Kontaktper- sonen bestehen. 5.4 Vorliegend hat das SEM der Beschwerdeführerin keine Einsicht in die Akten der Botschaftsanfrage und -antwort gewährt, sondern ihr gestützt auf Art. 27 Abs. 1 Bst. a VwVG mit Schreiben vom 28. September 2022 eine kurze Zusammenfassung der Aktenstücke zugestellt und ihr das rechtliche Gehör dazu gewährt. Bereits in der darauffolgenden Stellungnahme rügte die Beschwerdeführerin, es sei nicht ersichtlich und das SEM habe sich auch nicht dazu geäussert, inwiefern wesentliche öffentliche Interessen der Offenlegung der Botschaftsanfrage entgegenstehen würden. Im Rahmen der Vernehmlassung hielt die Vorinstanz an der Auffassung fest, dass es sich bei Botschaftsanfragen um geheim zu haltende Dokumente handeln würden, weshalb sie der Beschwerdeführerin praxisgemäss keine Einsicht in die Originaldokumente gewährt habe, sondern ihr im Rahmen der Ge- währung des rechtlichen Gehörs ersatzweise den wesentlichen, entscheid- relevanten Inhalt der Abklärungsergebnisse mitgeteilt habe. Die Beschwer- deführerin vertrat in der Replik weiterhin die Auffassung, das SEM habe ihr rechtliches Gehör verletzt, indem es ihr weder die Fragen noch die voll- ständigen Antworten mitgeteilt habe.</w:t>
      </w:r>
    </w:p>
    <w:p>
      <w:r>
        <w:t>D-2305/2023 Seite 8 5.5 Das Bundesverwaltungsgericht hat die Botschaftsanfrage, die Antwort und die Zusammenfassung zu Handen der Beschwerdeführerin geprüft. Zur Botschaftsanfrage kann festgehalten werden, dass nicht verständlich ist, weshalb die Einsicht verweigert wurde, zumal darin keine der Offenle- gung entgegenstehenden öffentlichen Interessen zu erkennen sind. Selbst wenn es solche geben sollte, wären zumindest die Fragen offenzulegen gewesen, was vorliegend aber nicht erfolgt ist. Auch in Bezug auf die Bot- schaftsantwort sind keine entgegenstehenden öffentlichen Interessen er- sichtlich. Der Beschwerdeführerin hätte daher– allenfalls in anonymisierter Form oder unter Abdeckung gewisser sensibler Daten von privatem Inte- resse (Art. 27 Abs. 1 Bst. b VwVG) – Einsicht in die Aktenstücke gewährt werden müssen. Selbst im Falle einer berechtigten Geheimhaltung wäre die Vorinstanz sodann verpflichtet gewesen, der Beschwerdeführerin den wesentlichen Inhalt der betreffenden Aktenstücke zur Kenntnis zu bringen. Das SEM hat der Beschwerdeführerin zwar eine Zusammenfassung zuge- stellt, diese gibt den Inhalt jedoch nur in auszugsweiser und unvollständi- ger Form wieder, wobei für die Beschwerdeführerin allenfalls vorteilhafte, durch die Botschaftsanfrage in Erfahrung gebrachte Erkenntnisse wegge- lassen worden sind. Die Botschaftsabklärung wurde der Beschwerdefüh- rerin also nicht rechtsgenüglich zur Stellungnahme vorgelegt. Damit wurde es ihr verunmöglicht zu sämtlichen Ergebnissen der Botschaftsanfrage Stellung zu nehmen, allfällige Einwände anzubringen oder Gegenbeweise beizubringen. 5.6 Insgesamt ergibt sich aus den obigen Ausführungen, dass das SEM seiner Verpflichtung zur Gewährung des rechtlichen Gehörs nicht hinrei- chend nachgekommen ist. Insbesondere indem es das Recht der Be- schwerdeführerin auf Akteneinsicht verletzt hat.</w:t>
      </w:r>
    </w:p>
    <w:p>
      <w:r>
        <w:rPr>
          <w:b/>
        </w:rPr>
        <w:t>E. 5.1</w:t>
      </w:r>
    </w:p>
    <w:p>
      <w:r>
        <w:t>In Bezug auf die Botschaftsanfrage rügt die Beschwerdeführerin, dass sowohl ihr Anspruch auf rechtliches Gehör als auch ihr Recht auf Akteneinsicht verletzt worden sei, indem die Vorinstanz ihr weder die Anfrage an die Schweizer Botschaft in Kinshasa noch deren Antwort zur Einsicht vorgelegt habe, sondern ihr lediglich eine Zusammenfassung zur Kenntnis gebracht habe.</w:t>
      </w:r>
    </w:p>
    <w:p>
      <w:r>
        <w:rPr>
          <w:b/>
        </w:rPr>
        <w:t>E. 5.2</w:t>
      </w:r>
    </w:p>
    <w:p>
      <w:r>
        <w:t>Aus dem Anspruch auf rechtliches Gehör resultiert der verfahrensrechtliche Anspruch auf Akteneinsicht (Art. 26 VwVG). In jedem Verfahren können sich die Betroffenen nur dann wirksam zur Sache äussern und geeignet Beweis führen beziehungsweise Beweismittel bezeichnen, wenn ihnen die Möglichkeit eingeräumt wird, die Unterlagen einzusehen, auf welche sich die Behörde stützt. Eine Einsichtsverweigerung kommt im beschränkten Rahmen von Art. 27 VwVG in Frage,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Wird einer Partei die Einsichtnahme in ein Aktenstück verweigert, muss ihr die Behörde indes von seinem wesentlichen Inhalt Kenntnis sowie die Gelegenheit geben, sich dazu zu äussern und Gegenbeweismittel zu bezeichnen (Art. 28 VwVG).</w:t>
      </w:r>
    </w:p>
    <w:p>
      <w:r>
        <w:rPr>
          <w:b/>
        </w:rPr>
        <w:t>E. 5.3</w:t>
      </w:r>
    </w:p>
    <w:p>
      <w:r>
        <w:t>Eine Botschaftsanfrage und die entsprechende Auskunft der Botschaft stellen eine Einheit in dem Sinne dar, dass eine Botschaftsabklärung sowohl die gestellten Fragen als auch die Antworten der schweizerischen Vertretung beinhaltet. Es handelt sich bei beiden Aktenstücken nicht um interne Akten; beide Dokumente unterstehen grundsätzlich dem Einsichtsrecht (vgl. Entscheidungen und Mitteilungen der Schweizerischen Asylrekurskommission [EMARK] 1994 Nr. 1 E. 3c), wobei entgegenstehende Geheimhaltungsinteressen unter Berücksichtigung des Grundsatzes der Verhältnismässigkeit die Einsicht einschränken und sensible Passagen abgedeckt oder zusammengefasst offengelegt werden können (vgl. Urteile des BVGer E-1059/2023 vom 7. Juni 2023; E. 6.3; D-4478/2019 vom 28. Januar 2020 E. 5.2,). So können Geheimhaltungsinteressen insbesondere in Bezug auf die Identität in- und ausländischer Informanten und Kontaktpersonen bestehen.</w:t>
      </w:r>
    </w:p>
    <w:p>
      <w:r>
        <w:rPr>
          <w:b/>
        </w:rPr>
        <w:t>E. 5.4</w:t>
      </w:r>
    </w:p>
    <w:p>
      <w:r>
        <w:t>Vorliegend hat das SEM der Beschwerdeführerin keine Einsicht in die Akten der Botschaftsanfrage und -antwort gewährt, sondern ihr gestützt auf Art. 27 Abs. 1 Bst. a VwVG mit Schreiben vom 28. September 2022 eine kurze Zusammenfassung der Aktenstücke zugestellt und ihr das rechtliche Gehör dazu gewährt. Bereits in der darauffolgenden Stellungnahme rügte die Beschwerdeführerin, es sei nicht ersichtlich und das SEM habe sich auch nicht dazu geäussert, inwiefern wesentliche öffentliche Interessen der Offenlegung der Botschaftsanfrage entgegenstehen würden. Im Rahmen der Vernehmlassung hielt die Vorinstanz an der Auffassung fest, dass es sich bei Botschaftsanfragen um geheim zu haltende Dokumente handeln würden, weshalb sie der Beschwerdeführerin praxisgemäss keine Einsicht in die Originaldokumente gewährt habe, sondern ihr im Rahmen der Gewährung des rechtlichen Gehörs ersatzweise den wesentlichen, entscheidrelevanten Inhalt der Abklärungsergebnisse mitgeteilt habe. Die Beschwerdeführerin vertrat in der Replik weiterhin die Auffassung, das SEM habe ihr rechtliches Gehör verletzt, indem es ihr weder die Fragen noch die vollständigen Antworten mitgeteilt habe.</w:t>
      </w:r>
    </w:p>
    <w:p>
      <w:r>
        <w:rPr>
          <w:b/>
        </w:rPr>
        <w:t>E. 5.5</w:t>
      </w:r>
    </w:p>
    <w:p>
      <w:r>
        <w:t>Das Bundesverwaltungsgericht hat die Botschaftsanfrage, die Antwort und die Zusammenfassung zu Handen der Beschwerdeführerin geprüft. Zur Botschaftsanfrage kann festgehalten werden, dass nicht verständlich ist, weshalb die Einsicht verweigert wurde, zumal darin keine der Offenlegung entgegenstehenden öffentlichen Interessen zu erkennen sind. Selbst wenn es solche geben sollte, wären zumindest die Fragen offenzulegen gewesen, was vorliegend aber nicht erfolgt ist. Auch in Bezug auf die Botschaftsantwort sind keine entgegenstehenden öffentlichen Interessen ersichtlich. Der Beschwerdeführerin hätte daher- allenfalls in anonymisierter Form oder unter Abdeckung gewisser sensibler Daten von privatem Interesse (Art. 27 Abs. 1 Bst. b VwVG) - Einsicht in die Aktenstücke gewährt werden müssen. Selbst im Falle einer berechtigten Geheimhaltung wäre die Vorinstanz sodann verpflichtet gewesen, der Beschwerdeführerin den wesentlichen Inhalt der betreffenden Aktenstücke zur Kenntnis zu bringen. Das SEM hat der Beschwerdeführerin zwar eine Zusammenfassung zugestellt, diese gibt den Inhalt jedoch nur in auszugsweiser und unvollständiger Form wieder, wobei für die Beschwerdeführerin allenfalls vorteilhafte, durch die Botschaftsanfrage in Erfahrung gebrachte Erkenntnisse weggelassen worden sind. Die Botschaftsabklärung wurde der Beschwerdeführerin also nicht rechtsgenüglich zur Stellungnahme vorgelegt. Damit wurde es ihr verunmöglicht zu sämtlichen Ergebnissen der Botschaftsanfrage Stellung zu nehmen, allfällige Einwände anzubringen oder Gegenbeweise beizubringen.</w:t>
      </w:r>
    </w:p>
    <w:p>
      <w:r>
        <w:rPr>
          <w:b/>
        </w:rPr>
        <w:t>E. 5.6</w:t>
      </w:r>
    </w:p>
    <w:p>
      <w:r>
        <w:t>Insgesamt ergibt sich aus den obigen Ausführungen, dass das SEM seiner Verpflichtung zur Gewährung des rechtlichen Gehörs nicht hinreichend nachgekommen ist. Insbesondere indem es das Recht der Beschwerdeführerin auf Akteneinsicht verletzt hat.</w:t>
      </w:r>
    </w:p>
    <w:p>
      <w:r>
        <w:rPr>
          <w:b/>
        </w:rPr>
        <w:t>E. 6</w:t>
      </w:r>
    </w:p>
    <w:p>
      <w:r>
        <w:t>Oktober 2020 zu Protokoll gab, sie habe eine Karte für Witwen von Par- lamentariern (A27 F62). Auf ebendieser Karte wird ausgewiesen, sie sei seit dem Jahr 2013 verwitwet. Die Rüge, dem Entscheid sei keine Kopie des Dokuments beigelegt worden und sie habe sich nie zu diesem Doku- ment äussern können, geht folglich fehl.</w:t>
      </w:r>
    </w:p>
    <w:p>
      <w:r>
        <w:rPr>
          <w:b/>
        </w:rPr>
        <w:t>E. 6.1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 kreten Verfahrens zu beeinflussen vermag; es handelt sich um einen An- spruch formeller Natur. Die Heilung von Gehörsverletzungen aus prozess- ökonomischen Gründen ist auf Beschwerdeebene nur möglich, sofern die festgestellte Verletzung nicht schwerwiegender Natur ist, das Versäumte nachgeholt wird, der Beschwerdeführer dazu Stellung nehmen kann und der Beschwerdeinstanz für die konkrete Streitfrage die freie Überprüfungs- befugnis in Bezug auf Tatbestand und Rechtsanwendung zukommt und die</w:t>
      </w:r>
    </w:p>
    <w:p>
      <w:r>
        <w:t>D-2305/2023 Seite 9 fehlende Entscheidreife mit vertretbarem Aufwand hergestellt werden kann (vgl. BVGE 2015/10 E. 7.1).</w:t>
      </w:r>
    </w:p>
    <w:p>
      <w:r>
        <w:rPr>
          <w:b/>
        </w:rPr>
        <w:t>E. 6.2</w:t>
      </w:r>
    </w:p>
    <w:p>
      <w:r>
        <w:t>Eine Heilung der festgestellten Mängel und ein reformatorischer Ent- scheid durch das Bundesverwaltungsgericht sind vorliegend schon des- halb nicht angezeigt, weil die Vorinstanz es versäumt hat, den Mangel im Rahmen des Schriftenwechsels zu beheben, und es sich nicht um eine bloss geringfügige Verletzung handelt. Das SEM ist anzuweisen, der Be- schwerdeführerin im Sinne der vorstehenden Erwägungen in geeigneter Weise Einsicht sowohl in die Botschaftsanfrage als auch in die Botschafts- auskunft sowie Gelegenheit zur Stellungnahme hierzu zu gewähren. In der Folge wird es erneut über das Asylgesuch zu entscheiden haben.</w:t>
      </w:r>
    </w:p>
    <w:p>
      <w:r>
        <w:rPr>
          <w:b/>
        </w:rPr>
        <w:t>E. 7</w:t>
      </w:r>
    </w:p>
    <w:p>
      <w:r>
        <w:t>Nach dem Gesagten ist die Beschwerde insofern gutzuheissen als die Ver- fügung vom 24. Mai 2023 aufzuheben und die Sache zur Behebung der festgestellten Mängel sowie zur Neubeurteilung an das SEM zurückzuwei- sen ist. Angesichts der Rückweisung der Sache erübrigt es sich, auf die weiteren (materiellen) Beschwerdevorbringen, Anträge und eingereichten Beweismittel einzugehen, weil diese ebenfalls Gegenstand des wiederauf- zunehmenden erstinstanzlichen Verfahrens sein werden und das SEM sich damit zu befassen haben wird.</w:t>
      </w:r>
    </w:p>
    <w:p>
      <w:r>
        <w:rPr>
          <w:b/>
        </w:rPr>
        <w:t>E. 8.1</w:t>
      </w:r>
    </w:p>
    <w:p>
      <w:r>
        <w:t>Bei diesem Ausgang des Verfahrens sind keine Kosten zu erheben (Art. 63 Abs. 1 und 2 VwVG). Der geleistete Kostenvorschuss in der Höhe von Fr. 750.– ist der Beschwerdeführerin zurückzuerstatten.</w:t>
      </w:r>
    </w:p>
    <w:p>
      <w:r>
        <w:rPr>
          <w:b/>
        </w:rPr>
        <w:t>E. 8.2</w:t>
      </w:r>
    </w:p>
    <w:p>
      <w:r>
        <w:t>Der ganz oder teilweise obsiegenden Partei ist eine Parteientschädi- gung für die ihr notwendigerweise erwachsenen Parteikosten zuzuspre- chen (Art. 64 Abs. 1 VwVG sowie Art. 7 des Reglements vom 21. Februar 2008 über die Kosten und Entschädigungen vor dem Bundesverwaltungs- gericht [VGKE, SR 173.320.2]). Der Rechtsvertreter der Beschwerdeführe- rin reichte keine Kostennote ein. Auf die Nachforderung einer solchen kann indessen verzichtet werden (vgl. Art. 14 Abs. 2 VGKE), da im vorliegenden Verfahren der Aufwand für die Beschwerdeführung zuverlässig abge- schätzt werden kann. Gestützt auf die in Betracht zu ziehenden Bemes- sungsfaktoren (Art. 9-13 VGKE) ist die Parteientschädigung aufgrund der Akten pauschal auf Fr. 1'600.– festzusetzen. Dieser Betrag ist der Be- schwerdeführerin durch das SEM zu entrichten.</w:t>
      </w:r>
    </w:p>
    <w:p>
      <w:r>
        <w:t>D-2305/2023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