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D-2305/2021 vom 25. Mai 2021</w:t>
      </w:r>
    </w:p>
    <w:p>
      <w:r>
        <w:t>Bundesverwaltungsgericht, 2021-05-25, DE</w:t>
      </w:r>
    </w:p>
    <w:p>
      <w:r>
        <w:rPr>
          <w:b/>
        </w:rPr>
        <w:t xml:space="preserve">Quelle: </w:t>
      </w:r>
      <w:r>
        <w:t>https://mcp.opencaselaw.ch/entscheid/bvger_D-2305_2021</w:t>
      </w:r>
    </w:p>
    <w:p>
      <w:r>
        <w:t>FR: TAF D-2305/2021 du 25 mai 2021</w:t>
      </w:r>
    </w:p>
    <w:p>
      <w:r>
        <w:t>IT: TAF D-2305/2021 del 25 maggio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der von Gesetzes wegen aufschiebende Wirkung zukommt (Art. 55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Vorab ist die formelle Rüge des Beschwerdeführers, das SEM habe den Sachverhalt unvollständig festgestellt und damit sein rechtliches Gehör verletzt, zu prüfen.</w:t>
      </w:r>
    </w:p>
    <w:p>
      <w:r>
        <w:rPr>
          <w:b/>
        </w:rPr>
        <w:t>E. 4.2</w:t>
      </w:r>
    </w:p>
    <w:p>
      <w:r>
        <w:t>Der in Art. 29 Abs. 2 BV garantierte und in den Art. 26-35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andererseits ein persönlichkeitsbezogenes Mitwirkungsrecht der Parteien dar. Der Anspruch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vgl. zum Ganzen: BGE 136 V 351 E. 4.2 m.w.H.). Unvollständig ist die Sachverhaltsfeststellung, wenn nicht alle für den Entscheid rechtsrelevanten Sachumstände berücksichtigt wurden, unrichtig, wenn der Verfügung ein falscher und aktenwidriger Sachverhalt zugrunde gelegt wird.</w:t>
      </w:r>
    </w:p>
    <w:p>
      <w:r>
        <w:rPr>
          <w:b/>
        </w:rPr>
        <w:t>E. 4.3</w:t>
      </w:r>
    </w:p>
    <w:p>
      <w:r>
        <w:t>Der Beschwerdeführer monierte, das SEM habe verkannt, dass er auch an (...) leide, und nur die Behandelbarkeit von (...) in Marokko aufgezeigt. Diese Rüge geht fehl. Die Vorinstanz hat die (...) in ihrer Verfügung ausdrücklich berücksichtigt (vgl. angefochtene Verfügung S. 5 Absatz 6), und sich zur Verfügbarkeit diesbezüglicher Behandlungen in Marokko, beispielsweise mittels (...), geäussert (vgl. angefochtene Verfügung S. 5 Absatz 7). Eine Gehörsverletzung seitens des SEM liegt somit nicht vor.</w:t>
      </w:r>
    </w:p>
    <w:p>
      <w:r>
        <w:rPr>
          <w:b/>
        </w:rPr>
        <w:t>E. 4.4</w:t>
      </w:r>
    </w:p>
    <w:p>
      <w:r>
        <w:t>Aufgrund des Gesagten besteht keine Veranlassung, die angefochtene Verfügung aus formellen Gründen aufzuheben und die Sache an die Vorinstanz zurückzuweisen. Der entsprechende (Eventual-)Antrag um Rückweisung an das SEM ist daher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bestimmter Intensität erlitten hat respektive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erachtete die Fluchtvorbringen des Beschwerdeführers, wonach er in Marokko wenig verdient habe und dort alles mit Bestechungsgeldern gelaufen sei, als den Anforderungen an die Flüchtlingseigenschaft gemäss Art. 3 AsylG nicht genügend. Dieser Einschätzung ist beizupflichten. Zur Vermeidung von Wiederholungen kann auf die zutreffenden Ausführungen in der angefochtenen Verfügung verwiesen werden. Der Rechtsmitteleingabe sind diesbezüglich keine Entgegnungen zu entnehmen. Die ökonomischen Schwierigkeiten des Beschwerdeführers vermögen keine Asylrelevanz im Sinne von Art. 3 AsylG zu entfalten. Eine begründete Furcht, dass er bei einer Rückkehr nach Marokko wegen einer Äusserung in den sozialen Medien flüchtlingsrelevanten Verfolgungsmassnahmen gemäss Art. 3 AsylG seitens der marokkanischen Behörden ausgesetzt wäre, vermochte der Beschwerdeführer nicht darzulegen. Konkrete Anhaltspunkte für eine objektiv begründete Furcht vor künftiger gezielter, asyl- respektive flüchtlingsrechtlich relevanter Verfolgung des Beschwerdeführers durch die heimatlichen Behörden oder Drittpersonen im Sinne von Art. 3 AsylG liegen aufgrund der Aktenlage nicht vor.</w:t>
      </w:r>
    </w:p>
    <w:p>
      <w:r>
        <w:rPr>
          <w:b/>
        </w:rPr>
        <w:t>E. 6.2</w:t>
      </w:r>
    </w:p>
    <w:p>
      <w:r>
        <w:t>Das SEM hat somit die Flüchtlingseigenschaft zu Recht verneint und das Asylgesuch des Beschwerdeführers folgerichtig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Das Prinzip des flüchtlingsrechtlichen Non-Refoulement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dem Beschwerdeführer unter Verweis auf die vorstehenden Ausführungen zum Asylpunkt nicht gelungen.</w:t>
      </w:r>
    </w:p>
    <w:p>
      <w:r>
        <w:rPr>
          <w:b/>
        </w:rPr>
        <w:t>E. 8.2.4</w:t>
      </w:r>
    </w:p>
    <w:p>
      <w:r>
        <w:t>Eine zwangsweise Rückweisung von Personen mit gesundheitlichen Problemen kann ganz ausnahmsweise einen Verstoss gegen Art. 3 EMRK darstellen. Dies ist insbesondere der Fall, wenn die betroffene Person sich in einem fortgeschrittenen oder terminalen Krankheitsstadium und bereits in Todesnähe befindet, nach der Überstellung mit dem sicheren Tod rechnen müsste und dabei keinerlei soziale Unterstützung erwarten könnte (vgl. BVGE 2011/9 E. 9 mit Hinweisen auf die damalige Praxis des EGMR). Gemäss aktueller Praxis des EGMR kann ein Verstoss gegen Art. 3 EMRK auch vorliegen, wenn eine schwer kranke Person durch den Vollzug der Wegweisung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 Aufgrund der Aktenlage lässt sich vorliegend nicht auf eine derart gravierende gesundheitliche Situation des Beschwerdeführers schliessen, die einen Wegweisungsvollzug nach Marokko als unzulässig erscheinen lassen würde (vgl. auch die nachstehenden Erwägungen 8.3.2).</w:t>
      </w:r>
    </w:p>
    <w:p>
      <w:r>
        <w:rPr>
          <w:b/>
        </w:rPr>
        <w:t>E. 8.2.5</w:t>
      </w:r>
    </w:p>
    <w:p>
      <w:r>
        <w:t>Ebenso wenig lässt die allgemeine Menschenrechtssituation in Marokko den Wegweisungsvollzug zum heutigen Zeitpunkt als unzulässig erscheinen. 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In Marokko herrscht kein Krieg, Bürgerkrieg oder eine Situation allgemeiner Gewalt, aufgrund derer die Zivilbevölkerung als konkret gefährdet bezeichnet werden müsste. Der Wegweisungsvollzug dorthin ist daher grundsätzlich zumutbar (vgl. statt vieler Urteil des BVGer E-1324/2021 vom 16. April 2021 E. 9.2).</w:t>
      </w:r>
    </w:p>
    <w:p>
      <w:r>
        <w:rPr>
          <w:b/>
        </w:rPr>
        <w:t>E. 8.3.2</w:t>
      </w:r>
    </w:p>
    <w:p>
      <w:r>
        <w:t>Sodann ist in Übereinstimmung mit dem SEM nicht davon auszugehen, der Beschwerdeführer würde bei einer Rückkehr nach Marokko aus individuellen Gründen in eine existenzielle Notlage geraten. Vor der im Jahr 2001 erfolgten Ausreise hat der Beschwerdeführer laut seinen Angaben in der Stadt C._______ gelebt, in einer Mietwohnung und zuletzt auf dem (...), auf dem er gearbeitet hat. Er verfügt seinen Angaben zufolge über eine Schulbildung sowie mehrjährige Arbeitserfahrung als (...) und auf dem (...), und kann Fremdsprachenkenntnisse (...) vorweisen. Auch wenn er gesundheitlich angeschlagen ist, darf erwartet werden, dass er bei einer Rückkehr in der Lage sein wird, wieder ein Auskommen und eine Unterkunft zu finden, zumal es sich bei ihm um einen alleinstehenden Mann handelt, der nur für den eigenen Lebensunterhalt zu sorgen hat. Seine Einwände, in Marokko in ärmlichen Verhältnissen gelebt zu haben, vermögen nicht gegen die Zumutbarkeit des Vollzugs zu sprechen. Allfällige wirtschaftliche Reintegrationsschwierigkeiten vermögen dem Vollzug nicht entgegenzustehen, da blosse soziale oder wirtschaftliche Schwierigkeiten, von denen die ansässige Bevölkerung betroffen ist (bspw. Mangel an Arbeitsplätzen), keine existenzbedrohende Situation zu begründen vermögen (vgl. BVGE 2010/41 E. 8.3.6). Zudem hat das SEM auf die Möglichkeit der Inanspruchnahme von Rückkehrhilfe hingewiesen. Weder das nicht mehr ganz junge Alter des Beschwerdeführers noch seine lange Landesabwesenheit führen daher vor dem Hintergrund des Gesagten zur Annahme der Unzumutbarkeit des Wegweisungsvollzugs. In Bezug auf die dokumentierten gesundheitlichen Probleme des Beschwerdeführers (vgl. Arztberichte vom 29. März 2021 [Diagnosen: {...}], 23. März 2021 [Diagnosen: {...}], 1. März 2021 [Diagnose: {...}, 1. März 2021 [Diagnose: {...}; medikamentöse Behandlung], 24. Juni 2020, 10. Juni 2020, 15. Mai 2020, 1. April 2020 und 27. Januar 2020 [Diagnosen: {...}; medikamentöse Behandlung]) ist darauf hinzuweisen, dass aus gesundheitlichen Gründen nur dann auf Unzumutbarkeit des Wegweisungsvollzugs im Sinne von Art. 83 Abs. 4 AIG geschlossen werden kann, wenn eine absolut notwendige medizinische Behandlung im Heimatland schlicht nicht zur Verfügung steht und die fehlende Möglichkeit der (Weiter-)Behandlung bei einer Rückkehr zu einer raschen und lebensgefährdenden Beeinträchtigung des Gesundheitszustands, zur Invalidität oder gar zum Tod der betroffenen Person führt. Unzumutbarkeit liegt jedenfalls nicht vor, wenn im Heimatstaat eine nicht dem schweizerischen Standard entsprechende Behandlung grundsätzlich möglich ist (vgl. BVGE 2011/50 E. 8.3, 2009/52 E. 10.1, 2009/51 E. 5.5, 2009/28 E. 9.3.1, 2009/2 E. 9.3.2). Von einer den Wegweisungsvollzug unzumutbar machenden existenziellen medizinischen Notlage ist vorliegend aufgrund der Aktenlage nicht auszugehen. Der Beschwerdeführer fand laut den aktenkundigen medizinischen Unterlagen in der Schweiz umfassende fachärztliche Betreuung und Behandlung. Die (...)-Medikation sei aktuell gut eingestellt (vgl. vorinstanzliche Akte 1060677/51) und die (...) wurde mittels (...) behandelt (vgl. Arztberichte vom 23. und 29. März 2021). Es kann nicht geschlossen werden, dass der Beschwerdeführer bei einer Rückkehr nach Marokko einer akuten Lebensgefahr ausgesetzt wäre, weil dort eine notwendige medizinische (Weiter-)Behandlung ausgeschlossen wäre. Das SEM hat aufgezeigt, dass die Medikamente und Therapien zur weiteren Behandlung der gesundheitlichen Probleme des Beschwerdeführers in Marokko verfügbar sind. Hinsichtlich des Einwands des Beschwerdeführers, wonach die Behandlung der (...) weiterhin in der Schweiz erfolgen müsse, ist darauf hinzuweisen, dass der EGMR grundsätzlich keinen Anspruch auf Verbleib in einem Konventionsstaat anerkennt, um weiterhin in den Genuss medizinischer Unterstützung zu kommen (vgl. Urteil vom 2. Mai 1997 i.S. D. gegen Vereinigtes Königreich). Auch in Bezug auf die (...) ist nicht davon auszugehen, dass der Beschwerdeführer auf eine Weiterbehandlung angewiesen wäre, die zwingend nur in der Schweiz gewährleistet werden könnte. Wie festgestellt, wurden die (...) des Beschwerdeführers bereits mittels (...), und das SEM hat aufgezeigt, dass eine solche Behandlung bei Bedarf auch in Marokko möglich ist (vgl. vorinstanzliche Verfügung S. 5 Absatz 7). Zudem ist die Vorbeugung - (...) - in Marokko gewährleistet. Marokko verfügt generell über ein gut entwickeltes Gesundheitssystem und es darf davon ausgegangen werden, dass eine adäquate medizinische (Weiter-)Behandlung aller gesundheitlichen Probleme des Beschwerdeführers dort möglich ist. Der Verweis in der Rechtsmitteleingabe auf einen Bericht zur Gesundheitsversorgung in Marokko aus dem Jahr 2015 (Beschwerde S. 9-10) vermag an dieser Einschätzung nichts zu ändern. Der Beschwerdeführer lebte in grossen Städten (B._______, C._______) und Marokko verfügt heutzutage insbesondere in urbanen Zentren über eine genügende Anzahl medizinischer Einrichtungen, wobei allfällige Einbussen des Betreuungsstandards im Vergleich mit der Schweiz - wie bereits festgehalten - nicht zur Unzumutbarkeit des Wegweisungsvollzugs zu führen vermögen. Hinsichtlich der in der Beschwerde erstmals angetönten psychischen Probleme des Beschwerdeführers, die auf eine als traumatisch empfundene Anhaltung in D._______ zurückzuführen sein könnten, ist festzuhalten, dass in Marokko auch psychiatrische oder psychologische Therapien verfügbar sind (vgl. Urteil des BVGer D-4062/2020 vom 10. Februar 2021 E. 7.3.2). Mit dem dortigen Régime d'Assistance Médicale (RAMED) ist ein Mittel zur Sicherung der medizinischen Grundversorgung gegeben, mit dem auch wirtschaftlich bedürftigen Personen der Zugang zum Gesundheitssystem gewährt wird (vgl. hierzu Urteile des BVGer E-1324/2021 vom 16. April 2021 E. 9.3.3, D-4062/2020 vom 10. Februar 2021 E. 7.3.2 und E-285/2020 vom 29. Januar 2020 S. 15). Bezüglich des Einwands fehlender Mittel zur Finanzierung von Medikamenten und Therapien ist überdies auch auf die Möglichkeit spezifischer medizinischer Rückkehrhilfe hinzuweisen (Art. 93 Abs. 1 Bst. d AsylG). Diese kann durch Mitgabe benötigter Medikamente oder auch in Form von Beiträgen zur Durchführung einer Behandlung oder der Ausrichtung einer Pauschale für medizinische Leistungen gewährt werden (Art. 75 der Asylverordnung 2 vom 11. August 1999 [AsylV 2, SR 142.312]). Schliesslich ist dem Gesundheitszustand des Beschwerdeführers bei der Vollzugsorganisation mit einer angemessenen Vorbereitung Rechnung zu tragen. Es ist zwar nachvollziehbar, dass der negative Ausgang des Asylverfahrens und die damit verbundene Zukunftsangst für den Beschwerdeführer belastend sind, aber aus der bestehenden Aktenlage lassen sich keine medizinischen Gründe ableiten, die gegen die Zumutbarkeit des Wegweisungsvollzugs sprechen würden. Ohne die Schwierigkeiten bei einer Rückkehr nach dem (behaupteten) langjährigen Auslandsaufenthalt zu verkennen, ist somit insgesamt nicht davon auszugehen, der Beschwerdeführer würde bei einer Rückkehr nach Marokko aus individuellen Gründen wirtschaftlicher, sozialer oder gesundheitlicher Natur in eine existenzielle Notlage geraten, die als konkrete Gefährdung im Sinne der zu beachtenden Bestimmung zu werten wäre (Art. 83 Abs. 4 AIG).</w:t>
      </w:r>
    </w:p>
    <w:p>
      <w:r>
        <w:rPr>
          <w:b/>
        </w:rPr>
        <w:t>E. 8.3.3</w:t>
      </w:r>
    </w:p>
    <w:p>
      <w:r>
        <w:t>Nach dem Gesagten erweist sich der Vollzug der Wegweisung auch als zumutbar.</w:t>
      </w:r>
    </w:p>
    <w:p>
      <w:r>
        <w:rPr>
          <w:b/>
        </w:rPr>
        <w:t>E. 8.4</w:t>
      </w:r>
    </w:p>
    <w:p>
      <w:r>
        <w:t>Des Weiteren obliegt es dem Beschwerdeführer, sich bei der zuständigen Vertretung des Heimatstaats die für eine Rückkehr notwendigen Reisedokumente zu beschaffen (Art. 8 Abs. 4 AsylG; vgl. dazu auch BVGE 2008/34 E. 12), weshalb der Vollzug der Wegweisung auch als möglich zu bezeichnen ist (Art. 83 Abs. 2 AIG). Schliesslich steht auch die Corona-Pandemie dem Vollzug nicht entgegen. Es handelt sich dabei, wenn überhaupt, um ein temporäres Vollzugshindernis, dem im Rahmen der Vollzugsmodalitäten Rechnung zu tragen ist, indem etwa der Zeitpunkt des Vollzugs der Situation im Heimatland angepasst wird.</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Das Gesuch um Gewährung der unentgeltlichen Prozessführung ist abzuweisen, da die Begehren, wie sich aus den vorstehenden Erwägungen ergibt, als aussichtslos zu bezeichnen waren, weshalb die Voraussetzungen von Art. 65 Abs. 1 VwVG - ungeachtet der behaupteten Bedürftigkeit des Beschwerdeführers - nicht erfüllt sind. Aus demselben Grund fällt auch die amtliche Rechtsverbeiständung gemäss Art. 102m Abs. 1 Bst. a AsylG von ausser Betracht, womit auch das diesbezügliche Gesuch abzuweisen ist.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