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D-2305/2010 vom 28. September 2010</w:t>
      </w:r>
    </w:p>
    <w:p>
      <w:r>
        <w:t>Bundesverwaltungsgericht, 2010-09-28, DE</w:t>
      </w:r>
    </w:p>
    <w:p>
      <w:r>
        <w:rPr>
          <w:b/>
        </w:rPr>
        <w:t xml:space="preserve">Quelle: </w:t>
      </w:r>
      <w:r>
        <w:t>https://mcp.opencaselaw.ch/entscheid/bvger_D-2305_2010</w:t>
      </w:r>
    </w:p>
    <w:p>
      <w:r>
        <w:t>FR: TAF D-2305/2010 du 28 septembre 2010</w:t>
      </w:r>
    </w:p>
    <w:p>
      <w:r>
        <w:t>IT: TAF D-2305/2010 del 28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1.4</w:t>
      </w:r>
    </w:p>
    <w:p>
      <w:r>
        <w:t>Gestützt auf Art. 37 VGG i.V.m. Art. 33a Abs. 2 Satz 2 VwVG ergeht das vorliegende Urteil in deutscher Sprache.</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Vorliegend kann im Asylpunkt die vertiefte Prüfung der Frage, ob der Beschwerdeführer in seiner Heimat tatsächlich einen älteren Mann überfahren hat, und er deshalb im Irak nun von dessen Söhnen mit dem Tod bedroht wird, wie das von ihm geltend gemacht wird, offen gelassen werden. Selbst bei Wahrunterstellung dieser Vorbringen erfüllt der Beschwerdeführer die Flüchtlingseigenschaft nicht, da er keine aus einem der in Art. 3 AsylG abschliessend aufgezählten Gründe (Rasse, Religion, Nationalität, Zugehörigkeit zu einer bestimmten sozialen Gruppe oder politische Anschauungen) motivierte Verfolgung geltend macht. Aufgrund der Vorbringen des Beschwerdeführers ist davon auszugehen, einzig das Bedürfnis nach Rache sei das Motiv für die Bedrohung des Beschwerdeführers durch die Söhne des überfahrenen Mannes. Da es - wie soeben aufgezeigt - im vorliegenden Fall an einem Verfolgungsmotiv gemäss Art. 3 AsylG fehlt, kann darauf verzichtet werden, auf die Vorbringen in der Beschwerde hinsichtlich der Zurechenbarkeitstheorie beziehungsweise Schutztheorie einzugehen. Der Vollständigkeit halber ist festzuhalten, dass die vorliegend vom Beschwerdeführer geltend gemachte Verfolgung im Rahmen der Zulässigkeit des Wegweisungsvollzugs zu prüfen sein wird.</w:t>
      </w:r>
    </w:p>
    <w:p>
      <w:r>
        <w:rPr>
          <w:b/>
        </w:rPr>
        <w:t>E. 5.2</w:t>
      </w:r>
    </w:p>
    <w:p>
      <w:r>
        <w:t>Aufgrund der vorstehenden Erwägungen erübrigt es sich, auf die weiteren Ausführungen in der Beschwerde und das eingereichte Beweismittel einzugehen, weil sie am Ergebnis nichts ändern. Zusammenfassend ergibt sich, dass die Vorbringen des Beschwerdeführers den Anforderungen an die Flüchtlingseigenschaft nicht genügen. Das Bundesamt hat sein Asylgesuch somit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Entscheide des Schweizerischen Bundesverwaltungsgerichts [BVGE] 2008/34 E. 9.2).</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Irak ist demnach unter dem Aspekt von Art. 5 AsylG rechtmässig. Sodann ergeben sich weder aus den Aussagen des Beschwerdeführers noch aus den Akten Anhaltspunkte dafür, dass er für den Fall einer Ausschaffung in den Irak dort mit beachtlicher Wahrscheinlichkeit einer nach Art. 3 der Konvention vom 4. November 1950 zum Schutze der Menschenrechte und Grundfreiheiten (EMRK, SR 0.101) oder Art. 1 des Übereinkommens vom 10. Dezember 1984 gegen Folter und andere grausame, unmenschliche oder erniedrigende Behandlung oder Strafe (FoK, SR 0.105)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Der Beschwerdeführer bringt zwar vor, er habe in seiner Heimat mit seinem Taxi einen älteren Mann überfahren, weswegen er im Irak nun von dessen Söhnen mit dem Tod bedroht werde. Das Gericht hält dazu fest, dass es ihm nicht gelingt, diese Vorbringen glaubhaft zu machen, zumal er sich anlässlich der Befragungen diesbezüglich teilweise erheblich widersprochen hat, ohne eine plausible Erklärung für dieses widersprüchliche Aussageverhalten vorzubringen. So machte der Beschwerdeführer bei der Kurzbefragung geltend, der von ihm angefahrene ältere Mann sei auf der Stelle tot gewesen (Akten BFM A 1/8, S. 4), hingegen er anlässlich der Anhörung darlegte, der Mann sei drei Stunden nach dem Unfall im Spital gestorben (Akten BFM A 6/12, S. 5 f.). Zudem sagte er bei der Kurzbefragung aus, er selbst habe den älteren Mann ins Spital F._______ gebracht (Akten BFM A 1/8, S. 4 f.), demgegenüber er anlässlich der Anhörung zu Protokoll gab, der ältere Mann sei von einem anderen Mann ins Spital G._______ gefahren worden (Akten BFM A 6/12, S. 5 f.). Erhebliche Zweifel an der Glaubhaftigkeit der Verfolgungsvorbringen des Beschwerdeführers weckt zudem der Umstand, dass der Beschwerdeführer bei der Anhörung den Namen des angeblich überfahrenen Mannes nicht nennen konnte (Akten BFM A 6/12, S. 4). Es ist davon auszugehen, dass der Beschwerdeführer dessen Namen hätte angeben können, wenn sich der vorgetragene Sachverhalt tatsächlich zugetragen hätte. An der Unglaubhaftigkeit der Vorbringen des Beschwerdeführers ändert auch das eingereichte Schreiben der Polizei von E._______ vom 10. August 2009 nichts, zumal hinsichtlich der Echtheit dieses Dokumentes grundsätzlich Vorbehalte anzubringen sind, da erfahrungsgemäss im Heimatstaat des Beschwerdeführers derartige Dokumente ohne weiteres unrechtmässig erworben werden können, weshalb ihr Beweiswert als äusserst gering eingestuft werden muss. Die Authentizität des vom Beschwerdeführer eingereichten Dokumentes ist zudem auch deshalb zu bezweifeln, da darin geschrieben steht, der überfahrene Mann sei nach drei Tagen im Spital verstorben, was im Widerspruch zu den Aussagen des Beschwerdeführers anlässlich der Befragungen steht, wonach der Mann sofort beziehungsweise nach drei Stunden gestorben sei. Auch die allgemeine Menschenrechtssituation im Nordirak lässt den Wegweisungsvollzug zum heutigen Zeitpunkt nicht als unzulässig erscheinen (vgl. BVGE 2008/4 E. 6.2 ff.).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In Bezug auf die allgemeine Lage in den drei nordirakischen Provinzen kann auf die vom Bundesverwaltungsgericht vorgenom-mene Einschätzung der Lage in einem ergangenen Grundsatzurteil verwiesen werden (vgl. BVGE 2008/5), welche auch zum heutigen Zeitpunkt noch Gültigkeit hat. Das Gericht stellt dort zusammen-fassend fest, dass in den drei kurdischen Provinzen Dohuk, Sulay-maniya und Erbil keine Situation allgemeiner Gewalt herrscht und die dortige politische Lage nicht dermassen angespannt ist, dass eine Rückführung dorthin als generell unzumutbar betrachtet werden müss-te. Zudem ist die Region mit Direktflügen aus Europa und aus den Nachbarstaaten erreichbar. Damit entfällt das Element der unzumut-baren Rückreise via Bagdad und anschliessend auf dem Landweg durch den von Gewalt heimgesuchten Zentralirak. Für allgemein zumutbar erachtet es grundsätzlich die Rückkehr von Personen, die ursprünglich aus der Region stammen oder längere Zeit dort gelebt haben und über ein soziales Netz (Familie, Verwandtschaft oder Bekanntenkreis) oder über Beziehungen zu den herrschenden Parteien verfügen (vgl. a.a.O. E. 7.5 und insbesondere 7.5.8). Zu prüfen bleibt, ob persönliche Gründe des Beschwerdeführers den Wegweisungsvollzug als nicht zumutbar erscheinen lassen.</w:t>
      </w:r>
    </w:p>
    <w:p>
      <w:r>
        <w:rPr>
          <w:b/>
        </w:rPr>
        <w:t>E. 7.3.3</w:t>
      </w:r>
    </w:p>
    <w:p>
      <w:r>
        <w:t>Aus den Akten ergeben sich keine Anhaltspunkte, die darauf schliessen liessen, der alleinstehende, heute knapp 28-jährige und - soweit aktenkundig - gesunde Beschwerdeführer gerate im Falle der Rückkehr in seine Heimat aus individuellen Gründen wirtschaftlicher, sozialer oder gesundheitlicher Natur in eine existenzbedrohende Situation. Gemäss eigenen Angaben verfügt er zwar lediglich über eine geringe Schulbildung, er hat jedoch vor seiner Ausreise als Taxichauffeur gearbeitet. Aufgrund dieser Arbeitserfahrung ist davon auszugehen, dass er in der Lage sein wird, sich in seiner Heimat eine wirtschaftliche Existenzgrundlage zu erarbeiten. Dies umso mehr, als er auf die Hilfe seiner dort ansässigen Eltern, Geschwister, Onkel und Tanten zurückgreifen kann. Der Vollzug der Wegweisung erweist sich mithin nicht als unzumutbar im Sinne von Art. 83 Abs. 4 AuG.</w:t>
      </w:r>
    </w:p>
    <w:p>
      <w:r>
        <w:rPr>
          <w:b/>
        </w:rPr>
        <w:t>E. 7.4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27. April 2010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