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D-22/2014 vom 2. Dezember 2014</w:t>
      </w:r>
    </w:p>
    <w:p>
      <w:r>
        <w:t>Bundesverwaltungsgericht, 2014-12-02, DE</w:t>
      </w:r>
    </w:p>
    <w:p>
      <w:r>
        <w:rPr>
          <w:b/>
        </w:rPr>
        <w:t xml:space="preserve">Quelle: </w:t>
      </w:r>
      <w:r>
        <w:t>https://mcp.opencaselaw.ch/entscheid/bvger_D-22_2014</w:t>
      </w:r>
    </w:p>
    <w:p>
      <w:r>
        <w:t>FR: TAF D-22/2014 du 2 décembre 2014</w:t>
      </w:r>
    </w:p>
    <w:p>
      <w:r>
        <w:t>IT: TAF D-22/2014 del 2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Gemäss Absatz 1 der Übergangsbestimmungen zur Änderung vom 14. Dezember 2012 des AsylG gilt für die im Zeitpunkt des Inkrafttretens der Änderung dieses Gesetzes hängigen Verfahren mit Ausnahme der Absätze 2-4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vom 3. Januar 2014 macht der Beschwerdeführer im Wesentlichen geltend, er gehöre der Minderheit der Hazara an, welche in Afghanistan nicht akzeptiert sei und von den Taliban verfolgt werde. Was die Unzulässigkeit der Wegweisung anbelange, so sei nach den beiden Grundsatzurteilen mittlerweile einige Zeit verstrichen. Während dieser Zeit habe sich die Sicherheitslage verschlechtert, insbesondere auch wegen des Abzugs ausländischer Truppen. Ein weiteres Problem, welches zur Unsicherheit beitrage, sei die diesjährige Dürre, welche vor allem im Süden und im Westen (Herat) geherrscht habe. Im Übrigen wolle er darauf hinweisen, dass er das ihm auferlegte Kontaktverbot eingehalten und auch keinen Alkohol mehr getrunken habe. Es treffe zwar zu, dass ihm im Arztbericht vom 15. November 2013 in diesem Zusammenhang keine gute Prognose ausgestellt werde. Deshalb würde er sich gerne von einem zweiten Arzt untersuchen lassen, um die Prognose zu bestätigen. Da es hier immerhin um die öffentliche Sicherheit und Ordnung gehe, sei ein zweiter ärztlicher Bericht zwingend erforderlich.</w:t>
      </w:r>
    </w:p>
    <w:p>
      <w:r>
        <w:rPr>
          <w:b/>
        </w:rPr>
        <w:t>E. 5.2</w:t>
      </w:r>
    </w:p>
    <w:p>
      <w:r>
        <w:t>Diese Vorbringen in der Beschwerdeschrift vermögen nicht zu einer veränderten Betrachtungsweise zu führen, weil sich die Beschwerdeschrift im Asylpunkt nicht mit den vorinstanzlichen Erwägungen auseinandersetzt. Zur Vermeidung von Wiederholungen erübrigen sich an dieser Stelle weitere Ausführungen, zumal bezüglich der angeblich drohenden Verfolgung des Beschwerdeführers durch die Taliban in Kabul, Mazar-i-Sharif oder Herat auf die Erwägungen in der Zwischenverfügung vom 16. Januar 2014 des Bundesverwaltungsgerichts sowie die zutreffenden Erwägungen in der angefochtenen Verfügung verwiesen werden kann. Dementsprechend ist festzustellen, dass es dem Beschwerdeführer nicht gelungen ist, nachzuweisen oder glaubhaft zu machen, dass er im Falle einer Rückkehr nach Afghanistan ernsthafte Nachteile gemäss Art. 3 AsylG befürchten müsste.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6.2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Urteil des Bundesverwaltungsgerichts D-3341/2011 vom 10. April 2013 E. 5; BVGE 2013/37 E. 4.4). Diese besagt, dass Ausländerinnen und Ausländer gestützt auf den in Art. 8 EMRK und Art. 13 BV gewährleisteten Schutz des Familienlebens ein potenzieller Anspruch auf Aufenthalt in der Schweiz erwächst, wenn intakte und tatsächlich gelebte Familienbande zu nahen Verwandten (sog.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130 II 281 E. 3.1 S. 285 f., Entscheidungen und Mitteilungen der Schweizerischen Asylrekurskommission [EMARK] 2005 Nr. 3 E. 3.1 S. 31 f.). Kann sich die asylsuchende Person auf einen grundsätzlichen Anspruch auf Erteilung einer Aufenthaltsbewilligung berufen,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gegebenenfalls eine vom BFM bzw. SEM verfügte Wegweisung auf (vgl. EMARK 2001 Nr. 21 E. 9a S. 177).</w:t>
      </w:r>
    </w:p>
    <w:p>
      <w:r>
        <w:rPr>
          <w:b/>
        </w:rPr>
        <w:t>E. 6.3</w:t>
      </w:r>
    </w:p>
    <w:p>
      <w:r>
        <w:t>Wie sich aus den Akten (Kriminalrapporte vom 7. Februar und 4. Juli 2013) ergibt, griff der Beschwerdeführer bei innerfamiliären Konflikten mit Ehefrau und Kindern verschiedentlich zu physischer Gewalt nebst Gewaltandrohungen inklusive Todesdrohungen. Es blieb indes nicht bei Schlägen mit der Faust, blauen Flecken und Hämatomen. Vielmehr kam es am 22. Mai 2013 auch zum Versuch, die Ehefrau zu nächtlicher Stunde mit einem feuchten Tuch zu ersticken; in der Folge ordnete das (...)gericht des Kantons T._______ mit Entscheid vom 24. Mai 2013 eine Untersuchungshaft an. Angesichts des vorerwähnten Verhaltens des Beschwerdeführers erkannte der Einzelrichter des Bezirksgerichts R._______ mit Entscheid vom 20. Juni 2013, dem Beschwerdeführer werde mit sofortiger Wirkung superprovisorisch verboten, mit der Ehefrau und den gemeinsamen Kindern direkt oder über Drittpersonen in Kontakt zu treten (mündlich, telefonisch, schriftlich, elektronisch etc.), sich ihnen auf weniger als 200 Meter zu nähern und sich in der Gemeinde U._______ aufzuhalten, dies verbunden mit der Strafandrohung von Art. 292 StGB. Am 22. Juni 2013 wurde der Beschwerdeführer von der Kantonspolizei T._______ vor dem V._______ angehalten, nachdem er zuvor angekündigt hatte, die dort einquartierte Ehefrau zu töten. Zu diesem Zweck führte er ein Küchenmesser mit sich. In der Folge wurde er mit Entscheid vom 25. Juni 2013 des (...)gerichts T._______ wiederum in Untersuchungshaft gesetzt. Aus der Entscheidbegründung ergibt sich im Übrigen, dass der Beschwerdeführer sein Alkoholproblem, entgegen seinen Verlautbarungen anlässlich der Einvernahmen vor dem Haftentscheid vom 24. Mai 2013 und trotz Antabuskur, weiterhin nicht im Griff hatte. Am 20. September 2013 verfügte die Staatsanwaltschaft T._______ die Entlassung aus der Untersuchungshaft. Nach dem Gesagten bestehen nicht nur keine intakten und tatsächlich gelebten Familienbande zur Kernfamilie; vielmehr ist es dem Beschwerdeführer im Rahmen von Eheschutzmassnahmen verboten, auch nur telefonischen Kontakt mit der Ehefrau oder den Kindern aufzunehmen. Die Ehefrau ist berechtigt, getrennt von ihm zu leben. Die gemeinsamen Kinder wurden unter die elterliche Obhut der Mutter gestellt. Von einem Besuchs- und Ferienrecht gegenüber seinen Kindern wurde abgesehen. Zudem wurde ihm ein Annäherungsverbot sowie, wie bereits erwähnt, ein Kontaktverbot gegenüber der Ehefrau und den Kindern auferlegt. Ferner bestehen den Akten zufolge seitens der Ehefrau ernsthafte Trennungsbestrebungen. Im Übrigen ordnete das BFM mit Verfügung vom 3. Dezember 2013 die vorläufige Aufnahme der Ehefrau des Beschwerdeführers und ihrer Kinder in der Schweiz an. Sie verfügen demnach noch nicht über ein gefestigtes Aufenthaltsrecht in der Schweiz. Nach dem Gesagten ergibt sich, dass von einer gelebten, intakten Ehe keine Rede sein kann und sich der Beschwerdeführer nicht auf den Grundsatz der Einheit der Familie gemäss Art. 8 EMRK berufen kann. Aus diesem Grund kann sich der Beschwerdeführer auch nicht auf EMARK 1999 Nr. 1 E. 4 berufen, wonach eine nicht gleichzeitige Wegweisung von Ehegatten verboten ist und die Zumutbarkeit des Wegweisungsvollzugs auf koordinierte Weise geprüft werden muss. Die Wegweisung wurde nach dem Gesagten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 zumal der Beschwerdeführer auch aus Art. 8 EMRK nichts zu seinen Gunsten ableiten kann; in diesem Zusammenhang wird auf die einlässlichen und zutreffenden Erwägungen in der angefochtenen Verfügung verwiesen.</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Gemäss dem Vorbehalt von Art. 83 Abs. 7 AuG wird die vorläufige Aufnahme nach den Absätzen 2 und 4 (wegen Unmöglichkeit beziehungsweise Unzumutbarkeit des Wegweisungsvollzugs) nicht verfügt, wenn die weg- oder ausgewiesene Person a) zu einer längerfristigen Freiheitsstrafe im In- oder Ausland verurteilt wurde oder wenn gegen sie eine strafrechtliche Massnahme in Sinne von Art. 64 oder 61 des Schweizerischen Strafgesetzbuchs vom 21. Dezember 1937 (StGB, SR 311.0) angeordnet wurde; b) erheblich oder wiederholt gegen die öffentliche Sicherheit und Ordnung in der Schweiz oder im Ausland verstossen hat oder diese gefährdet oder die innere oder die äussere Sicherheit gefährdet oder c) die Unmöglichkeit im Vollzug der Weg- oder Ausweisung durch ihr eigenes Verhalten verursacht hat.</w:t>
      </w:r>
    </w:p>
    <w:p>
      <w:r>
        <w:rPr>
          <w:b/>
        </w:rPr>
        <w:t>E. 8.3</w:t>
      </w:r>
    </w:p>
    <w:p>
      <w:r>
        <w:t>Zu trennen von der Frage, ob ein in Art. 83 Abs. 7 AuG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AuG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Marc Spescha/Hanspeter Thür/Andreas Zünd/Peter Bolzli, Migrati­onsrecht, 3. Aufl., Zürich 2012, N 23 zu Art. 83 AuG; Walter Stöckli, Asyl, in: Uebersax/ Rudin/Hugi/Yar/Geiser [Hrsg.], Ausländerrecht, 2. Aufl., Basel 2009, Rz. 11.70). Andererseits darf es gerade nicht darauf hinauslaufen, dass im Rahmen der Interessenabwägung letztlich trotzdem eine vollständige Zumutbarkeitsprüfung vorgenommen wird. Im Rahmen der Interessenabwägung gilt es zu beachten, dass das öffentli­che Interesse nicht darauf beschränkt ist, zukünftige Verletzungen der öf­fentlichen Ordnung durch die betroffene Person zu vermeiden; über den Einzelfall hinaus geht es um die Durchsetzung wirkungsvoller Massnah­men zu Gunsten der Allgemeinheit und darum, die Gemeinschaft vor Gefährdung zu schützen (vgl. BVGE 2007/32 E. 3.7.3 S. 391).</w:t>
      </w:r>
    </w:p>
    <w:p>
      <w:r>
        <w:rPr>
          <w:b/>
        </w:rPr>
        <w:t>E. 8.4</w:t>
      </w:r>
    </w:p>
    <w:p>
      <w:r>
        <w:t>Zur Vermeidung von Wiederholungen kann auf die zutreffenden Erwägungen in der angefochtenen Verfügung verwiesen werden (vgl. Bst. B hievor). Offensichtlich liegt seitens des Beschwerdeführers kein "geringfügiges" Fehlverhalten vor, zumal er Leib und Leben seiner Ehefrau am 22. Mai 2013 durch einen Übergriff, der zur Erstickung hätte führen können, konkret gefährdet hat. Bereits am 22. Juni 2013 wurde er in einem analogen Kontext ein weiteres Mal straffällig und vor dem V._______ durch die Polizei aufgegriffen, nachdem er ein ihm auferlegtes und mit der Strafandrohung von Art. 292 StGB verbundenes Annäherungsverbot an die Ehefrau missachtet hatte. Da er zuvor im Zustand der Angetrunkenheit verkündet hatte, die dort einquartierte Ehefrau zu töten, gelang es der Polizei dank eines Hinweises rechtzeitig, den (bewaffneten) Beschwerdeführer von der Umsetzung seines Tatplans abzuhalten. Dabei handelt es sich nicht um ein Verdienst des Beschwerdeführers. Nach dem Gesagten ist eine schwerwiegende Verletzung bzw. Gefährdung der öffentlichen Sicherheit und Ordnung der Schweiz zu bejahen. Der Beschwerdeführer hält sich erst seit dem 16. Januar 2012 in der Schweiz auf, weist keine ausgeprägte Verbundenheit mit der Schweiz auf. Indessen ist er in der Hauptstadt Kabul geboren und hat dort einen Teil seiner Kindheit verbracht, wo eine Schwester lebt (vgl. A5/14 Ziff. 3.01 S. 5/6, A50/1). Im Rahmen von Art. 83 Abs. 7 AuG ist in casu die Frage nach der Tragfähigkeit des Beziehungsnetzes nicht weiter zu prüfen. Im Übrigen steht es dem Beschwerdeführer frei, nötigenfalls ein Gesuch um medizinische Rückkehrhilfe im Sinne von Art. 93 Abs. 1 Bst. d AsylG zu stellen, sofern er die in der Schweiz begonnene Therapie nebst den erforderlichen Kontrollen auch nach der Rückkehr in den Heimatstaat noch eine gewisse Zeit fortsetzen möchte. Auch wenn vorliegend insgesamt das individuelle Interesse des Be­schwerdeführers an einem weiteren Aufenthalt in der Schweiz nicht als gering zu gewichten ist, erscheint demgegenüber das öffentliche Interes­se am Vollzug der Wegweisung des wiederholt strafrechtlich in Erscheinung getretenen Beschwerdeführers ungleich grösser. Das öffentliche Interesse am Schutz vor Gewaltverbrechen ist als hoch zu gewichten, weshalb - ohne die Frage nach dem Risiko zukünftiger Straftaten zu be­leuchten (vgl. BVGE 2007/32 E. 3.7.3 S. 391) - der Vollzug der Wegwei­sung des Beschwerdeführers zu bejahen ist. Was die vom Beschwerdeführer angeregte Untersuchung durch einen zweiten Arzt anbelangt, so kann auf eine solche im Rahmen einer antizipierten Beweiswürdigung verzichtet werden, zumal schon dem Arztzeugnis vom 15. November 2013 zu entnehmen ist, dass Prognosen zu chronischem Alkoholismus zum einen eher schwieriger Natur sind; zum anderen ist die Prognose nach dem Gesagten nicht entscheidwesentlich. Der entsprechende Antrag wird somit abgewiesen.</w:t>
      </w:r>
    </w:p>
    <w:p>
      <w:r>
        <w:rPr>
          <w:b/>
        </w:rPr>
        <w:t>E. 8.5</w:t>
      </w:r>
    </w:p>
    <w:p>
      <w:r>
        <w:t>Die Anwendung von Art. 83 Abs. 7 Bst. b AuG hält damit der Verhält­nismässigkeitsprüfung stand, weshalb der Vollzug der Wegweisung unter den Gesichtspunkten der Zumutbarkeit und der Möglichkeit nicht mehr zu prüfen ist. Insgesamt ist der durch die Vorinstanz verfügte Wegweisungsvollzug zu bestätigen.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