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D-2295/2011 vom 7. Februar 2012</w:t>
      </w:r>
    </w:p>
    <w:p>
      <w:r>
        <w:t>Bundesverwaltungsgericht, 2012-02-07, DE</w:t>
      </w:r>
    </w:p>
    <w:p>
      <w:r>
        <w:rPr>
          <w:b/>
        </w:rPr>
        <w:t xml:space="preserve">Quelle: </w:t>
      </w:r>
      <w:r>
        <w:t>https://mcp.opencaselaw.ch/entscheid/bvger_D-2295_2011</w:t>
      </w:r>
    </w:p>
    <w:p>
      <w:r>
        <w:t>FR: TAF D-2295/2011 du 7 février 2012</w:t>
      </w:r>
    </w:p>
    <w:p>
      <w:r>
        <w:t>IT: TAF D-2295/2011 del 7 febbraio 2012</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im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3.3</w:t>
      </w:r>
    </w:p>
    <w:p>
      <w:r>
        <w:t>Für die Beurteilung der Flüchtlingseigenschaft ist nicht nur der Zeitpunkt der Ausreise aus dem Heimatland, sondern auch die Situation im Zeitpunkt des Asylentscheids massgebend (vgl. BVGE 2008/4 E. 5.4 S. 38; EMARK 2005 Nr. 18). Wer sich darauf beruft, dass durch sein Verhalten nach der Ausreise eine Gefährdungssituation erst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S. 352).</w:t>
      </w:r>
    </w:p>
    <w:p>
      <w:r>
        <w:rPr>
          <w:b/>
        </w:rPr>
        <w:t>E. 4</w:t>
      </w:r>
    </w:p>
    <w:p>
      <w:r>
        <w:t>Das BFM erachtete die geltend gemachten Ausreisegründe des Beschwerdeführers, wonach ihm einerseits die Beschaffung nepalesischer Ausweispapiere nicht möglich gewesen sei, weshalb er kein Bankkonto habe eröffnen können, und er andererseits nach dem Bruch mit seiner Ehefrau, deren Familie ihn schlecht behandelt habe, nicht mehr in Nepal habe leben können, als den Anforderungen an die Flüchtlingseigenschaft gemäss Art. 3 AsylG und teils auch jenen an die Glaubhaftigkeit gemäss Art. 7 AsylG nicht genügend. Dieser Einschätzung ist beizupflichten. Zur Vermeidung von Wiederholungen kann vorab auf die nicht zu beanstandenden Ausführungen in der angefochtenen Verfügung, denen der Beschwerdeführer in den Rechtsmitteleingaben nichts entgegensetzte, verwiesen werden.</w:t>
      </w:r>
    </w:p>
    <w:p>
      <w:r>
        <w:rPr>
          <w:b/>
        </w:rPr>
        <w:t>E. 4.1</w:t>
      </w:r>
    </w:p>
    <w:p>
      <w:r>
        <w:t>Hinsichtlich der vom Beschwerdeführer geltend gemachten familiären Streitigkeiten ist festzustellen, dass eine Verfolgung durch nichtstaatliche Akteure grundsätzlich flüchtlingsrechtlich relevant sein kann, wenn es der betroffenen Person nicht möglich ist, davor im Heimatstaat adäquaten Schutz zu finden. Der Schutz ist dann als ausreichend zu qualifizieren, wenn die betroffene Person effektiv Zugang zu einer funktionierenden Infrastruktur hat und ihr deren Inanspruchnahme zumutbar ist, wobei von einem Staat nicht erwartet werden kann, dass er jederzeit präventiv in alle Lebensbereiche seiner Bürger eingreifen kann (vgl. EMARK 2006 Nr. 18). Unabhängig von der Frage, ob in diesem Sinne eine begründete Furcht vor Verfolgung besteht, hängt die Flüchtlingseigenschaft davon ab, ob der geltend gemachten Verfolgung ein flüchtlingsrechtlich relevantes Motiv gemäss Art. 3 Abs. 1 AsylG (Rasse, Religion, Nationalität, Zugehörigkeit zu einer bestimmten sozialen Gruppe, politische Anschauungen) zugrunde liegt. Die familiären Probleme des Beschwerdeführers vermögen keine asylrechtlich relevante Verfolgung im Sinne von Art. 3 AsylG zu begründen, zumal keine Anhaltspunkte vorliegen, dass die Übergriffe von Seiten der Ehefrau und deren Familie (Beschimpfungen, Schläge) aus asylerheblichen Gründen gemäss Art. 3 Abs. 1 AsylG erfolgt wären. Zudem ist für die Anerkennung der Flüchtlingseigenschaft nach Lehre und Praxis erforderlich, dass die asylsuchende Person ernsthafte Nachteile von bestimmter Intensität erlitten hat (vgl. EMARK 2005 Nr. 21 E. 7 S. 193). Den Beschimpfungen und Schlägen fehlt es an der geforderten Intensität. Bei allfälligen schwer wiegenden Übergriffen stünde dem Beschwerdeführer die Möglichkeit offen, sich schutzsuchend an die nepalesischen Behörden zu wenden. Es liegen keine Hinweise vor, dass diese nicht fähig oder willens wären, bei schwerer häuslicher Gewalt einzuschreiten. Die Asylrelevanz dieser Verfolgungsvorbringen ist deshalb zu verneinen. Aber auch mit dem Verweis auf die schwierige Lage papierloser Nepalesen vermag der Beschwerdeführer den Anforderungen an eine asylbeachtlich begründete, individuelle Verfolgung im Sinne von Art. 3 AsylG nicht zu genügen. Unannehmlichkeiten wie die Unmöglichkeit, ein Bankkonto zu eröffnen, stellen keine Nachteile im Sinne von Art. 3 AsylG dar. Zudem ist nicht ersichtlich, weshalb es dem Beschwerdeführer, der sich in den Jahren 1995 und 1996 vergeblich um die Ausstellung von Identitätspapieren bemüht habe, nicht zumutbar gewesen wäre, ab dem Jahr 2006 die Registrierung als nepalesischer Staatsangehöriger gemäss dem für ihn vorteilhaften neuen "Citizenship Act" von 2006 zu beantragen. Schliesslich sind auch keine Gründe erkennbar, weshalb die Trennung von der Ehefrau im Jahr 2008 einen weiteren Verbleib des Beschwerdeführers in Nepal verunmöglicht hätte, hat er doch bereits von 1990 bis zur Ausreise im September 2008 - mithin schon lange vor der Eheschliessung und auch danach noch - ohne nennenswerte Probleme allein in F._______ gewohnt und gearbeitet. Der Beschwerdeführer konnte mithin für den Zeitpunkt seiner Ausreise aus Nepal keine asylrechtlich relevante Verfolgung im Sinne von Art. 3 AsylG nachweisen oder zumindest glaubhaft machen. Das BFM hat das Asylgesuch damit in diesem Kontext zu Recht abgelehnt.</w:t>
      </w:r>
    </w:p>
    <w:p>
      <w:r>
        <w:rPr>
          <w:b/>
        </w:rPr>
        <w:t>E. 4.2</w:t>
      </w:r>
    </w:p>
    <w:p>
      <w:r>
        <w:t>Auf Beschwerdeebene machte der Beschwerdeführer das Vorliegen subjektiver Nachfluchtgründe geltend, indem er vorbrachte, er sei im Jahr 2009 zum Christentum konvertiert und müsse deshalb in Nepal mit ernsthaften Nachteilen im Sinne von Art. 3 Abs. 2 AsylG rechnen. Es ist mithin zu prüfen, ob der Beschwerdeführer aufgrund der in der Schweiz erfolgten Konvertierung die Voraussetzungen für die Zuerkennung der Flüchtlingseigenschaft erfüllt.</w:t>
      </w:r>
    </w:p>
    <w:p>
      <w:r>
        <w:rPr>
          <w:b/>
        </w:rPr>
        <w:t>E. 4.2.1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Die Anforderungen an den Nachweis einer begründeten Furcht bleiben dabei massgeblich (Art. 3 und 7 AsylG).</w:t>
      </w:r>
    </w:p>
    <w:p>
      <w:r>
        <w:rPr>
          <w:b/>
        </w:rPr>
        <w:t>E. 4.2.2</w:t>
      </w:r>
    </w:p>
    <w:p>
      <w:r>
        <w:t>Christen stellen, wie Muslime und Buddhisten, zwar eine Minderheit in Nepal dar und offensive Missionstätigkeiten sind verpönt, jedoch reicht die Zugehörigkeit zu dieser Minderheit für sich allein nicht aus, um eine tatsächliche Gefährdung des Beschwerdeführers im Falle einer Rückkehr als wahrscheinlich erscheinen zu lassen. Das nepalesische Parlament hat sich nach der Entmachtung des Königs im Frühling 2006 ausdrücklich zum Säkularismus bekannt; der Hinduismus ist nicht mehr wie früher Staatsreligion. Es liegen denn auch keine konkreten Anhaltspunkte dafür vor, dass der Beschwerdeführer als Mitglied der christlichen Glaubensgemeinschaft befürchten müsste, einer zukünftigen Verfolgung seitens der nepalesischen Behörden ausgesetzt zu sein. Es müssten konkrete Anhaltspunkte - nicht nur die abstrakte oder rein theoretische Möglichkeit - dafür vorliegen, dass der Beschwerdeführer mit der Konvertierung das Interesse auf sich gezogen hat, und dass deswegen ein reales Verfolgungsinteresse besteht. Dies ist nicht der Fall. Es kann zwar nicht ausgeschlossen werden, dass er bei einer Rückkehr bei Bekanntwerden des Glaubenswechsels im privaten Bereich mit Intoleranz konfrontiert sein könnte, jedoch ist aufgrund des Gesagten nicht davon auszugehen, dass die Behörden nicht willens wären, ihm bei allfälligen Übergriffen Schutz zu gewähren. Nach dem Gesagten ist das Subeventualbegehren, es sei das Verfahren infolge Vorliegens eines echten Novums zur Sachverhaltsabklärung und zur erneuten Befragung des Beschwerdeführers zurückzuweisen, abzuweisen.</w:t>
      </w:r>
    </w:p>
    <w:p>
      <w:r>
        <w:rPr>
          <w:b/>
        </w:rPr>
        <w:t>E. 4.2.3</w:t>
      </w:r>
    </w:p>
    <w:p>
      <w:r>
        <w:t>Der Beschwerdeführer erfüllt damit die Voraussetzungen für die Zuerkennung der Flüchtlingseigenschaft gemäss Art. 3 AsylG auch unter dem Aspekt subjektiver Nachfluchtgründe gemäss Art. 54 AsylG nicht. Die Abweisung des Asylgesuchs erfolgte mithin zu Recht.</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Nepal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124 - 127, mit weiteren Hinweisen). Dies ist vorliegend nicht der Fall. Auch die allgemeine Menschenrechtssituation in Nepal lässt den Wegweisungsvollzugs nicht als unzulässig erscheinen.</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Nach dem Friedensabkommen zwischen der Regierung und den Maoisten vom 21. November 2006, der Wahl der verfassungsgebenden Versammlung vom 10. April 2008 und der Abschaffung der Monarchie und Neugestaltung des Landes als Republik durch die verfassungsgebende Versammlung am 28. Mai 2008 ist die allgemeine Lage in Nepal nicht von kriegerischen Auseinandersetzungen oder allgemeiner Gewalt gezeichnet, aufgrund derer die Bevölkerung konkret gefährdet wäre und eine Rückführung dorthin als generell unzumutbar betrachtet werden müsste.</w:t>
      </w:r>
    </w:p>
    <w:p>
      <w:r>
        <w:rPr>
          <w:b/>
        </w:rPr>
        <w:t>E. 6.2.2</w:t>
      </w:r>
    </w:p>
    <w:p>
      <w:r>
        <w:t>In den Akten finden sich auch keine konkreten Anhaltspunkte dafür, dass der Beschwerdeführer aus individuellen Gründen wirtschaftlicher, sozialer oder gesundheitlicher Natur bei einer Rückkehr nach Nepal in eine existenzbedrohende Situation geraten würde. Der - soweit aktenkundig - gesunde Beschwerdeführer hat bis zu seiner Ausreise im September 2008 immer in Nepal gelebt und ist somit mit den dortigen Verhältnissen bestens vertraut. Er verfügt im Heimatland über Angehörige ([Aufzählung Verwandte] in D._______) und einen breiten Freundeskreis (vgl. A9 S. 7 F59). Zudem bilden die langjährige Berufserfahrung als (Beruf) in einem Gästehaus in F._______ und die in der Schweiz gewonnenen Erfahrungen im (Gewerbe) gute Voraussetzungen für einen Wiedereinstieg in den heimatlichen Arbeitsmarkt. Es ist somit nicht davon auszugehen, der Beschwerdeführer würde bei einer Rückkehr nach Nepal in eine seine Existenz vernichtende Situation geraten, die als konkrete Gefährdung im Sinne der zu beachtenden Bestimmungen zu werten wäre (Art. 83 Abs. 4 AuG).</w:t>
      </w:r>
    </w:p>
    <w:p>
      <w:r>
        <w:rPr>
          <w:b/>
        </w:rPr>
        <w:t>E. 6.2.3</w:t>
      </w:r>
    </w:p>
    <w:p>
      <w:r>
        <w:t>Der Vollzug der Wegweisung erweist sich daher in genereller und individueller Hinsicht als zumutbar.</w:t>
      </w:r>
    </w:p>
    <w:p>
      <w:r>
        <w:rPr>
          <w:b/>
        </w:rPr>
        <w:t>E. 6.3</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6.4</w:t>
      </w:r>
    </w:p>
    <w:p>
      <w:r>
        <w:t>Der durch die Vorinstanz verfügte Wegweisungsvollzug ist zu bestätigen und eine Anordnung er vorläufigen Aufnahme des Beschwerdeführers fällt damit ausser Betracht (Art. 83 Abs. 1 - 4 AuG).</w:t>
      </w:r>
    </w:p>
    <w:p>
      <w:r>
        <w:rPr>
          <w:b/>
        </w:rPr>
        <w:t>E. 7</w:t>
      </w:r>
    </w:p>
    <w:p>
      <w:r>
        <w:t>Aus diesen Erwägungen ergibt,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sind dessen Kosten dem Beschwerdeführer aufzuerlegen (Art. 63 Abs. 1 und 5 VwVG). Sie sind auf Fr. 600.- festzusetzen (Art. 1-3 des Reglements vom 21. Februar 2008 über die Kosten und Entschädigungen vor dem Bundesverwaltungsgericht [VGKE, SR 173.320.2]) und mit dem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