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D-2295/2010 vom 15. Juli 2010</w:t>
      </w:r>
    </w:p>
    <w:p>
      <w:r>
        <w:t>Bundesverwaltungsgericht, 2010-07-15, DE</w:t>
      </w:r>
    </w:p>
    <w:p>
      <w:r>
        <w:rPr>
          <w:b/>
        </w:rPr>
        <w:t xml:space="preserve">Quelle: </w:t>
      </w:r>
      <w:r>
        <w:t>https://mcp.opencaselaw.ch/entscheid/bvger_D-2295_2010</w:t>
      </w:r>
    </w:p>
    <w:p>
      <w:r>
        <w:t>FR: TAF D-2295/2010 du 15 juillet 2010</w:t>
      </w:r>
    </w:p>
    <w:p>
      <w:r>
        <w:t>IT: TAF D-2295/2010 del 15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festzustellen, dass der Beschwerdeführer den Wortlaut sämtlicher Protokolle mit seiner Unterschrift bestätigt hat und sich deshalb seine Aussagen grundsätzlich entgegenhalten lassen muss.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Befragung beim Kanton oder beim BFM diametral abweichen, oder wenn bestimmte Ereignisse oder Befürchtungen, welche später als zentrale Asylgründe genannt werden, nicht bereits in der Befragung im Empfangszentrum zumindest ansatzweise erwähnt werden.</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(vgl. Ziffer I; Bst. E. vorstehend). Durch das unbegründete Nachschieben wesentlicher Vorbringen und seine teilweise krass widersprüchlichen Aussagen im vorinstanzlichen Verfahren ist der Beschwerdeführer unglaubwürdig, weshalb ihm die geltend gemachten Asylgründe nicht geglaubt werden können. Bezüglich des lediglich in Kopie eingereichten Bestätigungsschreibens von F._______ vom 21. März 2010 ist zu bemerken, dass auch dieses Dokument die Rückkehr des Beschwerdeführers in die Türkei im Juli 2009 nicht glaubhaft zu machen vermag, zumal dessen Inhalt nicht mit den Aussagen des Beschwerdeführers anlässlich der Befragungen übereinstimmt (vgl. dazu Zwischenverfügung des Bundesverwaltungsgerichts vom 22. Juni 2010, Bst. J vorstehend), weshalb davon auszugehen ist, dass es sich beim Bestätigungsschreiben von F._______ lediglich um einen Gefälligkeitsakt zugunsten des Beschwerdeführers handelt. Bezüglich der Einwendung in der Rechtsmittelschrift, wonach sich die im angefochtenen Entscheid aufgeführten Widersprüche oder nachgeschobenen Sachverhalte teilweise durch die psychischen Probleme, unter denen der Beschwerdeführer besonders anlässlich der Kurzbefragung gelitten habe, erklären liessen, ist festzuhalten, dass diese Behauptung im Kurzbefragungsprotokoll keine Stütze findet. Sie ist aufgrund der Umstände vielmehr als Schutzbehauptung des Beschwerdeführers zu werten, um seine in den Befragungen festgestellten Ungereimtheiten zu rechtfertigen. Zum Einwand der fehlenden Bildung des Beschwerdeführers in der Beschwerde ist zu bemerken, dass die Schilderung von Erlebnissen nicht von einer verstandesmässigen Leistung abhängt, sofern sich diese real ereignet haben. Tatsächlich Verfolgte sind unabhängig von der Herkunft und Bildung durchaus in der Lage, ihre Verfolgungssituation zu substanziieren, widerspruchsfrei und in schlüssiger Weise herzuleiten. Da die geltend gemachten Asylgründe des Beschwerdeführers offensichtlich unglaubhaft sind, besteht auch kein Anlass, die angefochtene Verfügung aufzuheben und die Sache zur Feststellung des vollständigen und richtigen rechtserheblichen Sachverhalts sowie zur Neubeurteilung an das BFM zurückzuweisen, weshalb der entsprechende Antrag abzuweisen ist. Aufgrund des soeben Gesagten ist auch der in der Rechtsmittelschrift erhobene Beweisantrag des Beschwerdeführers, es sei eine Botschaftsabklärung durchzuführen, in antizipierter Beweiswürdigung abzuweisen (FRITZ GYGI, Bundesverwaltungsrechtspflege, 2. Aufl., Bern 1983, S. 274; BGE 130 II 425 E. 2.1, BVGE 2008/24 E. 7.2, EMARK 2003 Nr. 13 S. 84). Nach dem Gesagten ist zu schliessen, es handle sich bei der Behauptung des Beschwerdeführers, wonach er sich in der Schweiz politisch betätigt habe und er im Juli 2009 in die Türkei zurückgekehrt sei, wo er aufgrund seiner politischen Tätigkeiten von den türkischen Behörden gesucht worden sei, um ein Sachverhaltskonstrukt, weswegen auch nicht geglaubt werden kann, dass er bei einer Rückkehr in sein Heimatland von den türkischen Behörden etwas zu befürchten hätte.</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in die Türkei befürchten müsste. Der Beschwerdeführer vermag mit seinen Beschwerdevorbringen und den eingereichten Beweismitteln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Vorab ist festzustellen, dass angesichts der heutigen Lage in der Türkei nicht von einer Situation allgemeiner Gewalt oder von kriegerischen oder bürgerkriegsähnlichen Verhältnissen gesprochen werden kann.</w:t>
      </w:r>
    </w:p>
    <w:p>
      <w:r>
        <w:rPr>
          <w:b/>
        </w:rPr>
        <w:t>E. 7.3.3</w:t>
      </w:r>
    </w:p>
    <w:p>
      <w:r>
        <w:t>Der Beschwerdeführer macht in der Rechtsmittelschrift geltend, er leide unter psychischen Problemen, weshalb der Wegweisungsvollzug unzumutbar sei. Im aktuellsten bei den Akten befindlichen Arztbericht vom 19. Juni 2009 des Psychiatrie-Zentrums J._______ in K._______, wo sich der Beschwerdeführer vom 3. bis zum 17. Juni 2009 stationär aufgehalten hat, wurde festgehalten, dass der Beschwerdeführer unter einer posttraumatischen Belastungsstörung sowie einer Anpassungsstörung mit depressiver Reaktion auf die drohende Ausweisung leide (vgl. Akten-BFM C1/7 S. 6). Zur notwendigen Behandlung wurde im Arztbericht ausgeführt, dass je nach psychischer Befindlichkeit eine ambulante psychiatrische Weiterbehandlung empfohlen werde. Der zuständige Arzt des Psychiatrie-Zentrums J._______ ist somit in seinem Bericht nicht davon ausgegangen, dass der Beschwerdeführer zum Zeitpunkt seiner Entlassung an einer schweren psychischen Erkrankung leide, zumal er dessen weitere Therapiebedürftigkeit nicht in jedem Fall als gegeben erachtet hat. Da es der Beschwerdeführer - trotz Zumutbarkeit und der ihm obliegenden Mitwirkungspflicht (Art. 8 AsylG) - unterlassen hat, einen aktuellen ärztlichen Bericht einzureichen, ist davon auszugehen, dass sich dessen Gesundheitszustand seit dem erwähnten ärztlichen Bericht vom 19. Juni 2009 nicht grundlegend verschlechtert hat. Aus den Akten ist zudem nicht ersichtlich, dass der Beschwerdeführer seit seiner Entlassung aus dem Psychiatrie-Zentrum J._______ im Juni letzten Jahres eine psychiatrische Weiterbehandlung bei einer medizinischen Fachperson (Arzt, Psychiater) in Anspruch genommen hat, was ebenfalls darauf hindeutet, dass er nicht unter gravierenden psychischen Problemen leidet. Schliesslich ist festzuhalten, dass dem Beschwerdeführer nicht geglaubt werden kann, dass er im Juli 2009 in die Türkei zurückgekehrt und dort Opfer von Verfolgung geworden ist (vgl. E. 5.2 f.), weshalb auch nicht davon auszugehen ist, dass sich aufgrund dieser Ereignisse seine Psyche verschlechtert hat, wie das in der Rechtsmittelschrift geltend gemacht wird.</w:t>
      </w:r>
    </w:p>
    <w:p>
      <w:r>
        <w:rPr>
          <w:b/>
        </w:rPr>
        <w:t>E. 7.3.4</w:t>
      </w:r>
    </w:p>
    <w:p>
      <w:r>
        <w:t>Sodann ist festzuhalten, dass die medizinische Grundversorgung des Beschwerdeführers in der Türkei gewährleistet ist (vgl. EMARK 1999 Nr. 5 S. 33). Insbesondere in den grösseren Städten der Türkei bestehen angemessene psychotherapeutische Behandlungsmöglichkeiten. Der Beschwerdeführer hat vor seiner Ausreise im Jahre 2005 während Jahren in Istanbul gelebt, wo eine genügende Infrastruktur beziehungsweise genügend qualifizierte Ärzte vorhanden sind, um seine psychischen Probleme bei einer Rückkehr dorthin - falls überhaupt nötig - angemessen zu behandeln (vgl. dazu Urteil des Bundesverwaltungsgerichts D-5586/2006 vom 22. Mai 2009). Es ist daher davon auszugehen, dass der Beschwerdeführer bei einer Rückkehr in seine Heimat die eventuell erforderliche medizinische Behandlung erhältlich machen kann. Allein der Umstand, dass die Behandlungsmöglichkeiten in der Türkei nicht dem medizinischen Standard in der Schweiz entsprechen, macht den Vollzug nicht unzumutbar (vgl. BVGE 2009/2 E. 9.3.2, mit Hinweis auf EMARK 2003 Nr. 24 E. 5a und 5b). Nach dem Gesagten erscheint eine Rückkehr des Beschwerdeführers in die Türkei unter medizinischen Gesichtspunkten - entgegen den Beschwerdevorbringen - als zumutbar. Aus den vorgenannten Gründen kann davon abgesehen werden, dem Beschwerdeführer eine Frist zwecks Beibringung eines ausführlichen psychiatrischen Berichts hinsichtlich seines Gesundheitszustandes sowie den Behandlungsmöglichkeiten in der Türkei anzusetzen, da mit hinlänglicher Verlässlichkeit abzusehen ist, dass mit Erstellung eines solchen Berichts keine die Zumutbarkeit des Wegweisungsvollzugs beeinflussenden Erkenntnisse gewonnen werden könnten (vgl. BGE 130 II 425 E. 2.1, BVGE 2008/24 E. 7.2, EMARK 2003 Nr. 13 E. 4c), weshalb der dahingehende Beweisantrag abzuweisen ist.</w:t>
      </w:r>
    </w:p>
    <w:p>
      <w:r>
        <w:rPr>
          <w:b/>
        </w:rPr>
        <w:t>E. 7.3.5</w:t>
      </w:r>
    </w:p>
    <w:p>
      <w:r>
        <w:t>Der Beschwerdeführer spricht neben seiner Muttersprache Kurdisch auch Türkisch und verfügt über mehrjährige Berufserfahrung in der Textilindustrie, weswegen anzunehmen ist, er könne sich in seiner Heimat beruflich reintegrieren. Zudem besitzt seine Familie Häuser in L._______ und in Istanbul, wo die Familie während mehr als zehn Jahren gewohnt hat. Überdies sind seine Mutter sowie mehrere Onkel weiterhin in der Türkei wohnhaft, weshalb davon auszugehen ist, dass er dort über ein soziales Beziehungsnetz verfügt, welches ihm eine Reintegration erleichtern wird (vgl. dazu schon das Urteil der ARK vom 30. August 2006 im Rahmen des ersten Asylverfahrens).</w:t>
      </w:r>
    </w:p>
    <w:p>
      <w:r>
        <w:rPr>
          <w:b/>
        </w:rPr>
        <w:t>E. 7.3.6</w:t>
      </w:r>
    </w:p>
    <w:p>
      <w:r>
        <w:t>Nach einer Gesamtwürdigung sämtlicher Faktoren ist somit zusammenfassend festzuhalten, dass der Vollzug der Wegweisung des Beschwerdeführers in die Türkei als zumutbar zu erachten ist.</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5. Juli 2010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