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D-2294/2025 vom 20. März 2025</w:t>
      </w:r>
    </w:p>
    <w:p>
      <w:r>
        <w:t>Bundesverwaltungsgericht, 2025-03-20, DE</w:t>
      </w:r>
    </w:p>
    <w:p>
      <w:r>
        <w:rPr>
          <w:b/>
        </w:rPr>
        <w:t xml:space="preserve">Quelle: </w:t>
      </w:r>
      <w:r>
        <w:t>https://mcp.opencaselaw.ch/entscheid/bvger_D-2294_2025_d20250320</w:t>
      </w:r>
    </w:p>
    <w:p>
      <w:r>
        <w:t>FR: TAF D-2294/2025 du 20 mars 2025</w:t>
      </w:r>
    </w:p>
    <w:p>
      <w:r>
        <w:t>IT: TAF D-2294/2025 del 20 marzo 2025</w:t>
      </w:r>
    </w:p>
    <w:p>
      <w:pPr>
        <w:pStyle w:val="Heading2"/>
      </w:pPr>
      <w:r>
        <w:t>Regeste</w:t>
      </w:r>
    </w:p>
    <w:p>
      <w:r>
        <w:t>Asyl und Wegweisung | Asyl und Wegweisung; Verfügung des SEM vom 20. März 2025</w:t>
      </w:r>
    </w:p>
    <w:p>
      <w:pPr>
        <w:pStyle w:val="Heading2"/>
      </w:pPr>
      <w:r>
        <w:t>Erwägungen</w:t>
      </w:r>
    </w:p>
    <w:p>
      <w:r>
        <w:rPr>
          <w:b/>
        </w:rPr>
        <w:t>E. 19</w:t>
      </w:r>
    </w:p>
    <w:p>
      <w:r>
        <w:t>März 2024 E. 9, vgl. ferner Urteil des BVGer D-2458/2024 vom 27. Juni 2024 E. 7.2) und keine Anhaltspunkte dafür vorliegen, dass die Behörden den Beschwerdeführer in seinem Einzelfall nicht schützen könnten oder würden,</w:t>
      </w:r>
    </w:p>
    <w:p>
      <w:r>
        <w:t>D-2294/2025 Seite 5 dass sich überdies aus den Akten keine Anhaltspunkte dafür ergeben, wo- nach der Schutz des Beschwerdeführers – sollte er auf diesen überhaupt angewiesen sein – durch die irakischen Behörden nicht gewährleistet sein könnte und seine Erklärungsversuche – weshalb er bis anhin nicht um be- hördlichen Schutz ersucht haben will – auf reinen Vermutungen basieren, dass die in der Beschwerde wiederholte pauschale Behauptung des Be- schwerdeführers, der Einfluss seines Vaters reiche weit über die Grenzen des Heimatorts hinaus, hieran nichts zu ändern vermag, kann er sich doch bei Bedarf sowohl im Heimatort als auch andernorts im Nordirak an die zuständigen Behörden wenden, dass es ihm offensichtlich nicht gelingt, die Flüchtlingseigenschaft nachzu- 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somit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sich der Vollzug der Wegweisung in Beachtung der massgeblichen völker- und landesrechtlichen Bestimmungen als zulässig erweist (Art. 83</w:t>
      </w:r>
    </w:p>
    <w:p>
      <w:r>
        <w:t>D-2294/2025 Seite 6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 als unzumutbar erweist, wenn sie im Heimat- oder Herkunftsstaat aufgrund von Situationen wie Krieg, Bürger- krieg, allgemeiner Gewalt und medizinischer Notlage konkret gefährdet sind (Art. 83 Abs. 4 AIG), dass die Vorinstanz die Zumutbarkeit des Wegweisungsvollzugs in die Au- tonome Region Kurdistan (ARK) unter Hinweisen auf die einschlägige Pra- xis des Bundesverwaltungsgerichts ausführlich begründet hat (vgl. Refe- renzurteil des BVGer D-913/2021 vom 19. März 2024), dass den entsprechenden Erwägungen zuzustimmen ist und diesen in der Beschwerde sodann auch nichts entgegengestellt wird, dass weder die allgemeine Lage im Heimat- beziehungsweise Herkunfts- staat des Beschwerdeführers noch individuelle Gründe auf eine konkrete Gefährdung im Falle einer Rückkehr schliessen lassen, welche der Zumut- barkeit des Wegweisungsvollzugs entgegen stehen könnten, dass dem gesunden und alleinstehenden Beschwerdeführer mit langjähri- ger Berufserfahrung bereits (…) (nach einer freiwilligen Rückkehr aus C._______ nach Abweisung seines dort gestellten Asylgesuchs, vgl. SEM- Akten 17/2) die soziale und wirtschaftliche Reintegration in seiner Heimat problemlos gelungen ist und davon auszugehen ist, dass ihm diese erneut ohne Weiteres gelingen wird, dass der Vollzug der Wegweisung demnach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Eventualbe- gehren abzuweisen ist,</w:t>
      </w:r>
    </w:p>
    <w:p>
      <w:r>
        <w:t>D-2294/2025 Seite 7 dass die angefochtene Verfügung Bundesrecht nicht verletzt, den rechts- erheblichen Sachverhalt richtig sowie vollständig feststellt (Art. 106 Abs. 1 AsylG) und – soweit überprüfbar – angemessen ist, weshalb die Be- schwerde abzuweisen ist, dass mit dem vorliegenden Direktentscheid in der Sache das Gesuch des Beschwerdeführers betreffend Verzicht auf Erhebung eines Kostenvor- schusses gegenstandslos geworden ist, dass das Gesuch um Gewährung der unentgeltlichen Prozessführung ge- mäss Art. 65 Abs. 1 VwVG – ungeachtet der geltend gemachten prozessu- alen Bedürftigkeit – abzuweisen ist, da sich die Beschwerdebegehren ent- sprechend den vorstehenden Erwägungen als aussichtslos erwiesen ha- ben,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D-2294/2025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