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D-2290/2024 vom 5. April 2024</w:t>
      </w:r>
    </w:p>
    <w:p>
      <w:r>
        <w:t>Bundesverwaltungsgericht, 2024-04-05, DE</w:t>
      </w:r>
    </w:p>
    <w:p>
      <w:r>
        <w:rPr>
          <w:b/>
        </w:rPr>
        <w:t xml:space="preserve">Quelle: </w:t>
      </w:r>
      <w:r>
        <w:t>https://mcp.opencaselaw.ch/entscheid/bvger_D-2290_2024_d20240405</w:t>
      </w:r>
    </w:p>
    <w:p>
      <w:r>
        <w:t>FR: TAF D-2290/2024 du 5 avril 2024</w:t>
      </w:r>
    </w:p>
    <w:p>
      <w:r>
        <w:t>IT: TAF D-2290/2024 del 5 aprile 2024</w:t>
      </w:r>
    </w:p>
    <w:p>
      <w:pPr>
        <w:pStyle w:val="Heading2"/>
      </w:pPr>
      <w:r>
        <w:t>Regeste</w:t>
      </w:r>
    </w:p>
    <w:p>
      <w:r>
        <w:t>Asyl und Wegweisung (Art. 40 i.V.m. Art. 6a Abs. 2 AsylG) | Asyl und Wegweisung (Art. 40 i.V.m. Art. 6a Abs. 2 AsylG); Verfügung des SEM vom 5. April 2024</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1.2</w:t>
      </w:r>
    </w:p>
    <w:p>
      <w:r>
        <w:t>Das Verfahren richtet sich nach dem VwVG, dem VGG und dem BGG, soweit das AsylG nichts anderes bestimmt (Art. 37 VGG und Art. 6 AsylG).</w:t>
      </w:r>
    </w:p>
    <w:p>
      <w:r>
        <w:rPr>
          <w:b/>
        </w:rPr>
        <w:t>E. 1.3</w:t>
      </w:r>
    </w:p>
    <w:p>
      <w:r>
        <w:t>Gemäss Art. 108 Abs. 3 AsylG beträgt die Beschwerdefrist bei Ent- scheiden nach Art. 40 AsylG i.V.m. Art. 6a Abs. 2 Bst. a AsylG fünf Arbeits- tage. Der Rechtsmittelbelehrung der angefochtenen Verfügung ist jedoch eine Beschwerdefrist von sieben Arbeitstagen zu entnehmen, womit die Rechtsmittelbelehrung des SEM fehlerhaft ist und die Verfügung mangel- haft eröffnet wurde. Aus einer mangelhaften Eröffnung darf den Parteien kein Nachteil erwachsen (vgl. Art. 38 VwVG). Dem Beschwerdeführer als juristischem Laien kann nicht vorgehalten werden, er hätte die Mangelhaf- tigkeit der Rechtsmittelbelehrung bei gebührender Sorgfalt erkennen müs- sen (vgl. FELIX UHLMANN/ALEXANDRA SCHILLING-SCHWANK, in: Praxiskom- mentar Verwaltungsverfahrensgesetz, Bernhard Waldmann/Patrick L. Krauskopf [Hrsg.], 3. Aufl. 2023, Art. 38 N. 24). Die Beschwerde ist dem-</w:t>
      </w:r>
    </w:p>
    <w:p>
      <w:r>
        <w:t>D-2290/2024 Seite 4 nach als fristgereicht eingereicht zu betrachten. Zudem wurde die Be- schwerde formgerecht eingereicht. Der Beschwerdeführer hat am Verfah- ren vor der Vorinstanz teilgenommen, ist durch die angefochtene Verfü- gung besonders berührt und hat ein schutzwürdiges Interesse an deren Aufhebung beziehungsweise Änderung. Er ist daher zur Einreichung der Beschwerde legitimiert (Art. 105 AsylG; Art. 48 Abs. 1 sowie Art. 52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Gemäss dem Wortlaut der Dispositivziffer 4 der angefochtenen Verfügung wird der Beschwerdeführer verpflichtet, das Staatsgebiet der Schweiz «so- wie den Schengen-Raum» zu verlassen. Wie sich aus den Erwägungen in der angefochtenen Verfügung zweifelsfrei ergibt (vgl. SEM-Verfügung, Ziff. III/2: «Wegweisung nach Deutschland»), handelt es sich dabei offen- kundig um ein Versehen, weshalb im Folgenden davon auszugehen ist, das SEM habe ausschliesslich die Wegweisung aus der Schweiz verfügt.</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und auf die Durchführung ei- nes Schriftenwechsels verzichtet wurde (Art. 111a Abs. 1 und 2 AsylG).</w:t>
      </w:r>
    </w:p>
    <w:p>
      <w:r>
        <w:rPr>
          <w:b/>
        </w:rPr>
        <w:t>E. 5</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w:t>
      </w:r>
    </w:p>
    <w:p>
      <w:r>
        <w:t>D-2290/2024 Seite 5</w:t>
      </w:r>
    </w:p>
    <w:p>
      <w:r>
        <w:rPr>
          <w:b/>
        </w:rPr>
        <w:t>E. 6.1</w:t>
      </w:r>
    </w:p>
    <w:p>
      <w:r>
        <w:t>Zur Begründung der angefochtenen Verfügung führt das SEM im We- sentlichen aus, der Bundesrat habe die Bundesrepublik Deutschland ge- mäss Art. 6a Abs. 2 Bst. a AsylG als sicheren Staat («safe country») be- zeichnet. Bei sicheren Staaten bestehe die Regelvermutung, dass keine flüchtlingsrechtlich relevante staatliche Verfolgung stattfinde und Schutz vor nichtstaatlicher Verfolgung gewährleistet sei. Es handle sich hierbei um eine relative Verfolgungssicherheit, welche im Einzelfall aufgrund konkreter und substantiierter Hinweise umgestossen werden könne. Seinen Aussa- gen sei indessen keine flüchtlingsrelevante Verfolgung zu entnehmen, wel- che die genannte Regelvermutung umzustossen vermöchte. Möglicher- weise liege seiner subjektiv empfundenen ungerechten Behandlung durch den deutschen Staat eine psychische Erkrankung zugrunde, zumal er des- wegen bereits in Behandlung gewesen sei. Der Umstand, dass er in Deutschland besitzlos sei, sei ebenfalls nicht asylrelevant, zumal er offen- bar weiterhin eine Rente erhalte. Überdies stehe ihm bei Bedarf der Weg zum Sozialamt offen. Schliesslich sei weder aus seinen Ausführungen noch im Allgemeinen nachvollziehbar, weshalb ihm deutsche Staat eine Krankenversicherung verweigern sollte.</w:t>
      </w:r>
    </w:p>
    <w:p>
      <w:r>
        <w:rPr>
          <w:b/>
        </w:rPr>
        <w:t>E. 6.2</w:t>
      </w:r>
    </w:p>
    <w:p>
      <w:r>
        <w:t>In seiner handschriftlichen Eingabe bringt der Beschwerdeführer im Wesentlichen zum Ausdruck, dass er einer bestimmten sozialen Gruppe angehöre und Nachteilen bis hin zum Mord in der Bundesrepublik Deutsch- land ausgesetzt sei. Durch das vorsätzliche Unterlassen der medizinischen Grundversorgung sei er einem unerträglichen psychischen Druck ausge- setzt. Er sei ein schwerbehinderter Mensch mit verminderten Einkünften.</w:t>
      </w:r>
    </w:p>
    <w:p>
      <w:r>
        <w:rPr>
          <w:b/>
        </w:rPr>
        <w:t>E. 7</w:t>
      </w:r>
    </w:p>
    <w:p>
      <w:r>
        <w:t>Das Bundesverwaltungsgericht teilt nach Durchsicht der Akten die Auffas- sung der Vorinstanz, wobei auf die zutreffende Begründung in der ange- fochtenen Verfügung verwiesen werden kann (vgl. Verfügung vom 5. April 2024, Ziff. II, S. 3–5). Im Weiteren ist festzustellen, dass der Beschwerde- führer auch auf Beschwerdeebene keine flüchtlingsrechtlich relevante Ver- folgung im Sinne von Art. 3 AsylG geltend macht. Bei seinem Konflikt mit der Firma C._______ handelt es sich um einen Konflikt mit privaten Dritten, der nur bei fehlender Schutzfähigkeit und Schutzwilligkeit des Staates asyl- relevant wäre. Dies ist bei der Bundesrepublik Deutschland nicht der Fall.</w:t>
      </w:r>
    </w:p>
    <w:p>
      <w:r>
        <w:rPr>
          <w:b/>
        </w:rPr>
        <w:t>E. 8.1</w:t>
      </w:r>
    </w:p>
    <w:p>
      <w:r>
        <w:t>Lehnt das SEM das Asylgesuch ab oder tritt es darauf nicht ein, so verfügt es in der Regel die Wegweisung aus der Schweiz und ordnet den</w:t>
      </w:r>
    </w:p>
    <w:p>
      <w:r>
        <w:t>D-2290/2024 Seite 6 Vollzug an; es berücksichtigt dabei den Grundsatz der Einheit der Familie (Art. 44 AsylG). Die Wegweisung wird praxisgemäss nicht verfügt, wenn eine asylsuchende Person grundsätzlich über einen Anspruch auf Erteilung einer Aufenthaltsbewilligung verfügt.</w:t>
      </w:r>
    </w:p>
    <w:p>
      <w:r>
        <w:rPr>
          <w:b/>
        </w:rPr>
        <w:t>E. 8.2</w:t>
      </w:r>
    </w:p>
    <w:p>
      <w:r>
        <w:t>Es ist in diesem Zusammenhang zwar festzustellen, dass es sich beim Beschwerdeführer um einen Staatsangehörigen Deutschlands handelt, weshalb er nach den Bestimmungen des Abkommens zwischen der Schweizerischen Eidgenossenschaft einerseits und der Europäischen Ge- meinschaft und ihren Mitgliedstaaten andererseits über die Freizügigkeit (Freizügigkeitsabkommen [FZA], SR 0.142.112.681) grundsätzlich über das Recht auf Einreise und Aufenthalt in der Schweiz verfügt. Dieser Um- stand steht jedoch vorliegend der Anordnung der Wegweisung nicht entge- gen, da sich der Beschwerdeführer nicht aus einem der im Freizügigkeits- abkommen genannten Gründe in der Schweiz aufhält, sondern alleine zwecks Einreichung eines Asylgesuches in die Schweiz eingereist ist. So- mit ist die Anordnung der Wegweisung aus der Schweiz zu bestätigen.</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Da es dem Beschwerdeführer nicht gelungen ist, eine asylrechtlich er- hebliche Gefährdung nachzuweisen oder glaubhaft zu machen, kann der in Art. 5 AsylG verankerte Grundsatz der Nichtrückschiebung im vorliegen- den Verfahren keine Anwendung finden. Sodann ergeben sich weder aus den Aussagen des Beschwerdeführers noch aus den Akten Anhaltspunkte dafür, dass er für den Fall einer Ausschaffung nach Deutschland dort mit beachtlicher Wahrscheinlichkeit einer nach Art. 3 EMRK oder Art. 1 FoK verbotenen Strafe oder Behandlung ausgesetzt wäre. Nach dem Gesagten ist der Vollzug der Wegweisung zulässig (vgl. Art. 83 Abs. 3 AsylG).</w:t>
      </w:r>
    </w:p>
    <w:p>
      <w:r>
        <w:rPr>
          <w:b/>
        </w:rPr>
        <w:t>E. 9.3</w:t>
      </w:r>
    </w:p>
    <w:p>
      <w:r>
        <w:t>Zudem lassen weder die allgemeine Lage in Deutschland noch indivi- duelle Gründe auf eine konkrete Gefährdung des Beschwerdeführers im Falle einer Rückkehr schliessen, weshalb der Vollzug der Wegweisung vor- liegend auch als zumutbar zu betrachten ist (vgl. Art. 83 Abs. 4 AIG).</w:t>
      </w:r>
    </w:p>
    <w:p>
      <w:r>
        <w:rPr>
          <w:b/>
        </w:rPr>
        <w:t>E. 9.4</w:t>
      </w:r>
    </w:p>
    <w:p>
      <w:r>
        <w:t>Der Vollzug der Wegweisung des Beschwerdeführers nach Deutsch- land ist schliesslich möglich, da keine Vollzugshindernisse bestehen</w:t>
      </w:r>
    </w:p>
    <w:p>
      <w:r>
        <w:t>D-2290/2024 Seite 7 (Art. 83 Abs. 2 AIG), und es dem Beschwerdeführer obliegt, bei der Be- schaffung gültiger Reisepapiere mitzuwirken (vgl. Art. 8 Abs. 4 AsylG und dazu auch BVGE 2008/34 E. 12).</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Der am 29. April 2024 in gleicher Höhe geleistete Kosten- vorschuss ist zur Bezahlung der Verfahrenskosten zu verwenden. (Dispositiv nächste Seite)</w:t>
      </w:r>
    </w:p>
    <w:p>
      <w:r>
        <w:t>D-2290/2024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