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D-2280/2020 vom 20. Oktober 2022</w:t>
      </w:r>
    </w:p>
    <w:p>
      <w:r>
        <w:t>Bundesverwaltungsgericht, 2022-10-20, DE</w:t>
      </w:r>
    </w:p>
    <w:p>
      <w:r>
        <w:rPr>
          <w:b/>
        </w:rPr>
        <w:t xml:space="preserve">Quelle: </w:t>
      </w:r>
      <w:r>
        <w:t>https://mcp.opencaselaw.ch/entscheid/bvger_D-2280_2020</w:t>
      </w:r>
    </w:p>
    <w:p>
      <w:r>
        <w:t>FR: TAF D-2280/2020 du 20 octobre 2022</w:t>
      </w:r>
    </w:p>
    <w:p>
      <w:r>
        <w:t>IT: TAF D-2280/2020 del 20 ottobre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D-2280/2020 Seite 6</w:t>
      </w:r>
    </w:p>
    <w:p>
      <w:r>
        <w:rPr>
          <w:b/>
        </w:rPr>
        <w:t>E. 3.1</w:t>
      </w:r>
    </w:p>
    <w:p>
      <w:r>
        <w:t>Auf Beschwerdeebene werden verschiedene formelle Rügen (Verlet- zung des Anspruchs auf rechtliches Gehör inklusive der Begründungs- pflicht sowie unrichtige und unvollständige Feststellung des rechtserhebli- chen Sachverhalts) erhoben. Sie sind vorab zu beurteilen, da sie gegebe- nenfalls geeignet sind,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Der Beschwerdeführer rügt, das SEM habe es unterlassen, vorge- brachte Tatsachen und Beweismittel korrekt zu würdigen und den rechts- erheblichen Sachverhalt richtig und vollständig festzustellen. Insbesondere habe es seine verwandtschaftlichen Verbindungen nicht ausreichend be- rücksichtigt und den (aktuellen) sri-lankischen Kontext unzureichend mit- einbezogen.</w:t>
      </w:r>
    </w:p>
    <w:p>
      <w:r>
        <w:rPr>
          <w:b/>
        </w:rPr>
        <w:t>E. 3.3.1</w:t>
      </w:r>
    </w:p>
    <w:p>
      <w:r>
        <w:t>Vorab ist dem Beschwerdeführer Recht zu geben, dass das SEM bei der Glaubhaftigkeitsprüfung – sowohl in der angefochtenen Verfügung als auch in der Vernehmlassung – insbesondere auf das Kriterium der Plausi- bilität abstellt, ohne sich zu den geltend gemachten Behelligungen selbst –</w:t>
      </w:r>
    </w:p>
    <w:p>
      <w:r>
        <w:t>D-2280/2020 Seite 7 insbesondere der geltend gemachten fünftägigen Festnahme – zu äussern (vgl. Verfügung des SEM vom 26. März 2017, Ziff. II). In diesem Zusam- menhang ist das SEM daran zu erinnern, dass dem Kriterium der Plausibi- lität in der Regel nur untergeordnetes Gewicht beigemessen werden kann und sich vorliegend eine vertiefte Glaubhaftigkeitsprüfung aufgedrängt hätte. Darüber hinaus ist festzustellen, dass das SEM das im Rahmen des vorinstanzlichen Verfahrens eingereichte Schreiben «To Whom It May Concern» des Parlamentsmitglieds L._______ vom 28. März 2017 (vgl. Prozessgeschichte, Bst. C.d sowie SEM-Akten A7) weder im Sachverhalt aufnahm noch in den Erwägungen würdigte (vgl. Verfügung des SEM vom 26. März 2020, Ziff. I und II). Zwar ist ein explizites Eingehen auf jedes ein- zelne Beweismittel zur hinreichenden Nachachtung des Anspruchs auf rechtliches Gehör respektive der Begründungspflicht nicht erforderlich. An- gesichts der potenziellen Relevanz dieses anerbotenen Beweismittels für die nähere Beurteilung der Glaubhaftigkeit der Verfolgungsvorbringen ist dieses Vorgehen aber nicht nachvollziehbar.</w:t>
      </w:r>
    </w:p>
    <w:p>
      <w:r>
        <w:rPr>
          <w:b/>
        </w:rPr>
        <w:t>E. 3.3.2</w:t>
      </w:r>
    </w:p>
    <w:p>
      <w:r>
        <w:t>Sodann hat das Bundesverwaltungsgericht im Referenzurteil E-1866/ 2015 vom 15. Juli 2016 festgestellt, dass aus Europa respektive der Schweiz zurückkehrende tamilische Asylsuchende nicht generell einer ernstzunehmenden Gefahr von Verhaftung und Folter ausgesetzt sind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a.a.O.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rechtlich relevante Gefährdung der betreffenden Person ergeben. Dabei zieht es in Betracht, dass insbeson- dere jene Rückkehrer eine begründete Furcht vor ernsthaften Nachteilen</w:t>
      </w:r>
    </w:p>
    <w:p>
      <w:r>
        <w:t>D-2280/2020 Seite 8 im Sinne von Art. 3 AsylG haben, denen seitens der sri-lankischen Behör- den zugeschrieben wird, dass sie bestrebt seien, den tamilischen Separa- tismus wiederaufleben zu lassen (vgl. a.a.O. E. 8.5.1). In der Zwischenverfügung vom 21. Oktober 2020 stellte der Instruktions- richter fest, dass in der angefochtenen Verfügung keine Prüfung der Risi- kofaktoren im Sinne der soeben zitierten bundesverwaltungsgerichtlichen Rechtsprechung zu Sri Lanka vorgenommen worden sei und lud das SEM ein, sich insbesondere hierzu vernehmen zu lassen. Eine vertiefte Risi- koprüfung, wie vom Bundesverwaltungsgericht vorgesehen, erfolgte auch in der Vernehmlassung nicht. In diesem Zusammenhang hat das SEM im Wesentlichen festgehalten, dass Rückkehrer, die illegal ausgereist seien, über keine gültigen Identitätsdokumente verfügten, im Ausland ein Asylver- fahren durchlaufen hätten oder behördlich gesucht würden, am Flughafen zu ihrem Hintergrund befragt würden. Diese Befragung und das allfällige Eröffnen eines Strafverfahrens wegen illegaler Ausreise stellten keine asyl- relevante Verfolgungsmassnahme dar. Regelmässig würden Rückkehrer auch am Herkunftsort zwecks Registrierung, Erfassung der Identität, bis hin zur Überwachung der Aktivitäten der Person befragt. Diese Kontroll- massnahmen nähmen grundsätzlich kein asylrelevantes Ausmass an. Der Beschwerdeführer habe nicht glaubhaft machen können, vor der Ausreise asylrelevanten Verfolgungsmassnahmen ausgesetzt gewesen zu sein. Aufgrund der Aktenlage sei nicht ersichtlich, weshalb er bei einer Rückkehr nach Sri Lanka nunmehr in den Fokus der Behörden geraten und in asyl- relevanter Weise verfolgt werden sollte, woran auch der blosse Umstand, dass sich entfernte Verwandte für die LTTE engagiert hätten, nichts zu än- dern vermöge (vgl. Vernehmlassung des SEM vom 17. November 2020, S. 2 f.). Vor diesem Hintergrund ist dem Beschwerdeführer darin beizu- pflichten, dass das SEM seine verwandtschaftlichen Verbindungen (vgl. Prozessgeschichte, Bst. A. und B.) im Rahmen der Risikoprüfung nicht an- gemessen berücksichtigte. Damit verkennt das SEM, dass gemäss dem zitierten Referenzurteil tatsächliche oder vermeintliche, aktuelle oder ver- gangene familiäre Anknüpfungspunkte zu den LTTE als Hauptrisikofaktor gelten (vgl. a.a.O. E. 8.4.1).</w:t>
      </w:r>
    </w:p>
    <w:p>
      <w:r>
        <w:rPr>
          <w:b/>
        </w:rPr>
        <w:t>E. 3.3.3</w:t>
      </w:r>
    </w:p>
    <w:p>
      <w:r>
        <w:t>Schliesslich ist in Übereinstimmung mit dem Beschwerdeführer fest- zuhalten, dass das SEM die politische Lage in Sri Lanka weder in der an- gefochtenen Verfügung noch in der Vernehmlassung hinreichend berück- sichtigt hat.</w:t>
      </w:r>
    </w:p>
    <w:p>
      <w:r>
        <w:t>D-2280/2020 Seite 9</w:t>
      </w:r>
    </w:p>
    <w:p>
      <w:r>
        <w:rPr>
          <w:b/>
        </w:rPr>
        <w:t>E. 3.4</w:t>
      </w:r>
    </w:p>
    <w:p>
      <w:r>
        <w:t>Nach dem Gesagten hat das SEM nicht nur die ihm obliegende Be- gründungspflicht verletzt, sondern es insbesondere auch unterlassen, den rechtserheblichen Sachverhalt vollständig abzuklären.</w:t>
      </w:r>
    </w:p>
    <w:p>
      <w:r>
        <w:rPr>
          <w:b/>
        </w:rPr>
        <w:t>E. 4.1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Eine Verletzung des Anspruchs auf rechtliches Gehör führt grundsätzlich eben- falls zur Kassation und Rückweisung der Sache an die Vorinstanz. Die Hei- 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4.2</w:t>
      </w:r>
    </w:p>
    <w:p>
      <w:r>
        <w:t>Vorliegend kann nur schon deshalb von einer Heilung auf Beschwer- deebene keine Rede sein, weil es das SEM versäumt hat, die formellen Fehler im Rahmen des Schriftenwechsels zu korrigieren. Dem Beschwer- deführer bleibt mit der Kassation ausserdem der Instanzenzug erhalten, was umso wichtiger ist, als im Asylverfahren das Bundesverwaltungsge- richt letztinstanzlich entscheidet (vgl. dazu BVGE 2009/53 E. 7.3, BVGE 2008/47 E. 3.3.4, BVGE 2008/14 E. 4.1).</w:t>
      </w:r>
    </w:p>
    <w:p>
      <w:r>
        <w:rPr>
          <w:b/>
        </w:rPr>
        <w:t>E. 5</w:t>
      </w:r>
    </w:p>
    <w:p>
      <w:r>
        <w:t>Nach dem Gesagten ist die Beschwerde insofern gutzuheissen, als die an- gefochtene Verfügung aufzuheben und die Sache zur Behebung der fest- gestellten Mängel sowie zur Neubeurteilung an das SEM zurückzuweisen ist. Angesichts der Rückweisung der Sache erübrigt es sich, auf die weiteren Vorbringen, Anträge und eingereichten Beweismittel einzugehen, weil sie</w:t>
      </w:r>
    </w:p>
    <w:p>
      <w:r>
        <w:t>D-2280/2020 Seite 10 ebenfalls Gegenstand des wiederaufzunehmenden erstinstanzlichen Ver- fahrens sein werden und das SEM sich damit zu befassen haben wird.</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Seitens des Rechtsvertreters des Beschwerdeführers wurde am 4. Dezember 2020 eine Kostennote zu den Akten gereicht , die einen zeitlichen Vertretungs- aufwand von insgesamt 15.59 Stunden zu einem Stundenansatz von Fr. 250.– sowie Auslagen in der Höhe von Fr. 143.– ausweist. Gestützt auf die in Betracht zu ziehenden Bemessungsfaktoren (Art. 9–13 VGKE), ist der zur Anwendung gebrachte Stundenansatz bei Fr. 250.– zu belassen. Der geltend gemachte zeitliche Aufwand erscheint indes im Verhältnis zu ähnlichen gelagerten Verfahren zu hoch und wird auf 10 Stunden gekürzt. Demnach ist das SEM anzuweisen, den Beschwerdeführenden eine Par- teientschädigung von gerundet Fr. 2’850.– (inkl. Auslagen und Mehrwert- steuerzuschlag) auszurichten. (Dispositiv nächste Seite)</w:t>
      </w:r>
    </w:p>
    <w:p>
      <w:r>
        <w:t>D-2280/2020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