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D-2279/2017 vom 18. August 2017</w:t>
      </w:r>
    </w:p>
    <w:p>
      <w:r>
        <w:t>Bundesverwaltungsgericht, 2017-08-18, DE</w:t>
      </w:r>
    </w:p>
    <w:p>
      <w:r>
        <w:rPr>
          <w:b/>
        </w:rPr>
        <w:t xml:space="preserve">Quelle: </w:t>
      </w:r>
      <w:r>
        <w:t>https://mcp.opencaselaw.ch/entscheid/bvger_D-2279_2017</w:t>
      </w:r>
    </w:p>
    <w:p>
      <w:r>
        <w:t>FR: TAF D-2279/2017 du 18 août 2017</w:t>
      </w:r>
    </w:p>
    <w:p>
      <w:r>
        <w:t>IT: TAF D-2279/2017 del 18 agosto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klassischen Konstellation bezweckt das Wiedererwägungsgesuch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w:t>
      </w:r>
    </w:p>
    <w:p>
      <w:r>
        <w:t>Vorab ist auf die in der Beschwerde erhobene formelle Rüge, wonach das SEM den Anspruch des Beschwerdeführers auf rechtliches Gehör verletzt habe, einzugehen:</w:t>
      </w:r>
    </w:p>
    <w:p>
      <w:r>
        <w:rPr>
          <w:b/>
        </w:rPr>
        <w:t>E. 4.1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dazu beispielsweise BVGE 2009/35 E. 6.4.1 m.w.H.).</w:t>
      </w:r>
    </w:p>
    <w:p>
      <w:r>
        <w:rPr>
          <w:b/>
        </w:rPr>
        <w:t>E. 4.2</w:t>
      </w:r>
    </w:p>
    <w:p>
      <w:r>
        <w:t>Für den vorliegenden Fall ist festzustellen, dass der Beschwerdeführer in seinem Wiedererwägungsgesuch geltend gemacht hat, es liege eine veränderte Sachlage vor, welche namentlich unter Berücksichtigung von Art. 8 EMRK und/oder Art. 44 AsylG dazu führen müsse, dass ihm die vorläufige Aufnahme in der Schweiz gewährt werde. Das SEM hat in der angefochtenen Verfügung zwar geprüft, ob dem Beschwerdeführer gestützt auf Art. 8 EMRK ein grundsätzlicher Anspruch auf Erteilung einer Aufenthaltsbewilligung zukomme. Hingegen hat es sich zur Frage, ob dem Beschwerdeführer gestützt auf den in Art. 44 AsylG statuierten Grundsatz der Einheit der Familie die vorläufige Aufnahme zu gewähren sei, mit keinem Wort geäussert. Es hat sich demnach mit einem grundsätzlich relevanten Vorbringen im Wiedererwägungsgesuch überhaupt nicht auseinandergesetzt und dieses in seinem Entscheid gänzlich unberücksichtigt gelassen. Auch in seiner Vernehmlassung vom 2. Mai 2017 hat sich das SEM nicht mit der Frage der Anwendbarkeit des Grundsatzes der Einheit der Familie gemäss Art. 44 AsylG auf den vorliegenden Sachverhalt befasst, obwohl diese Unterlassung in der Beschwerde ausdrücklich gerügt wurde. Mit seinem Vorgehen hat das SEM offensichtlich die ihm obliegende Prüfungs- und Begründungspflicht und damit den Anspruch des Beschwerdeführers auf rechtliches Gehör verletzt. Diese Gehörsverletzung ist als schwerwiegend zu erachten, weshalb eine Heilung auf Beschwerdeebene nicht in Betracht fällt.</w:t>
      </w:r>
    </w:p>
    <w:p>
      <w:r>
        <w:rPr>
          <w:b/>
        </w:rPr>
        <w:t>E. 5</w:t>
      </w:r>
    </w:p>
    <w:p>
      <w:r>
        <w:t>Nach dem Gesagten ist die Beschwerde gutzuheissen. Die vorinstanzliche Verfügung vom 11. April 2017 ist aufzuheben und die Sache zur umfassenden Prüfung - namentlich des im Wiedererwägungsgesuch ausdrücklich enthaltenen Vorbringens, dass der in Art. 44 AsylG statuierte Grundsatz der Einheit der Familie im Falle des Beschwerdeführers zu seiner vorläufigen Aufnahme in der Schweiz führen müsste - sowie zur anschliessenden Neubeurteilung und entsprechenden Begründung an das SEM zurückzuweisen. Angesichts der Rückweisung der Sache an die Vorinstanz erübrigt es sich, auf die weiteren Ausführungen in der Beschwerde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19. April 2017 geltend gemachte Arbeitsaufwand von 5.5 Stunden sowie die Auslagen von Fr. 52.50 erscheinen als angemessen. Der ausgewiesene Stundenansatz von Fr. 200.- bewegt sich im Rahmen von Art. 10 Abs. 2 VGKE. Somit hat das SEM dem Beschwerdeführer in Anwendung der genannten Bestimmungen sowie unter Berücksichtigung der massgeblichen Bemessungsfaktoren (Art. 8 ff. VGKE) eine Parteientschädigung von Fr. 1'153.-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