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D-2277/2020 vom 3. April 2020</w:t>
      </w:r>
    </w:p>
    <w:p>
      <w:r>
        <w:t>Bundesverwaltungsgericht, 2020-04-03, DE</w:t>
      </w:r>
    </w:p>
    <w:p>
      <w:r>
        <w:rPr>
          <w:b/>
        </w:rPr>
        <w:t xml:space="preserve">Quelle: </w:t>
      </w:r>
      <w:r>
        <w:t>https://mcp.opencaselaw.ch/entscheid/bvger_D-2277_2020_d20200403</w:t>
      </w:r>
    </w:p>
    <w:p>
      <w:r>
        <w:t>FR: TAF D-2277/2020 du 3 avril 2020</w:t>
      </w:r>
    </w:p>
    <w:p>
      <w:r>
        <w:t>IT: TAF D-2277/2020 del 3 aprile 2020</w:t>
      </w:r>
    </w:p>
    <w:p>
      <w:pPr>
        <w:pStyle w:val="Heading2"/>
      </w:pPr>
      <w:r>
        <w:t>Regeste</w:t>
      </w:r>
    </w:p>
    <w:p>
      <w:r>
        <w:t>Asyl und Wegweisung | Asyl und Wegweisung; Verfügung des SEM vom 3.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formeller Hinsicht einen möglichen Irrtum über seine Rechtsvertretung sowie die Tatsache, dass die Person, die die Anhörung durchgeführt hat, nicht den Entscheid redigiert hat, was eine un- vollständige Sachverhaltsfeststellung zur Folge habe. Auf diese Rügen ist</w:t>
      </w:r>
    </w:p>
    <w:p>
      <w:r>
        <w:t>D-2277/2020 Seite 7 vorab einzugehen, da sie allenfalls geeignet wären, eine Kassation der vor- instanzlichen Verfügung zu bewirken.</w:t>
      </w:r>
    </w:p>
    <w:p>
      <w:r>
        <w:rPr>
          <w:b/>
        </w:rPr>
        <w:t>E. 3.2.1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Gemäss Art. 8 AsylG hat die asylsuchende Person demgegenüber die Pflicht an der Fest- stellung des Sachverhaltes mitzuwirken (vgl. BVGE 2016/2 E. 4.3 mit wei- teren Hinweisen). Der in Art. 29 Abs. 2 BV verankerte Anspruch auf recht- liches Gehör, welcher in den Art. 26 – 33 VwVG konkretisiert wird, dient einerseits der Aufklärung des Sachverhalts, andererseits stellt er ein per- sönlichkeitsbezogenes Mitwirkungsrecht der Partei dar. Der Grundsatz des rechtlichen Gehörs umfasst alle Befugnisse, die einer Partei einzuräumen sind, damit sie ihren Standpunkt wirksam zur Geltung bringen kann (vgl. BGE 135 II 286 E. 5.1; BVGE 2009/25 E. 6.4.1). Der Anspruch auf rechtli- ches Gehör verlangt, dass die verfügende Behörde die Vorbringen der be- troffenen Person tatsächlich hört, sorgfältig und ernsthaft prüft und in der Entscheidfindung berücksichtigt, was sich entsprechend in der Begrün- dung des Entscheids niederschlagen muss (vgl. BVGE 2008/47 m.w.H.). Die Begründung muss so abgefasst sein, dass die betroffene Person den Entscheid gegebenenfalls sachgerecht anfechten kann (Art. 35 Abs. 1 VwVG). Die Behörde muss die Überlegungen nennen, von denen sie sich hat leiten lassen und auf die sie ihren Entscheid stützt (vgl. BGE 136 I 184 E. 2.2.1; BVGE 2011/37 E. 5.4.1 m.w.H.). Gemäss Art. 61 Abs. 1 VwVG entscheidet das Bundesverwaltungsgericht in der Sache selbst oder weist diese ausnahmsweise mit verbindlichen Weisungen an die Vorinstanz zu- rück. Eine Kassation der Verfügung und Rückweisung an die Vorinstanz ist insbesondere angezeigt, wenn weitere Tatsachen festgestellt werden müs- sen (vgl. BVGE 2012/21 E. 5.1 m.w.H.).</w:t>
      </w:r>
    </w:p>
    <w:p>
      <w:r>
        <w:rPr>
          <w:b/>
        </w:rPr>
        <w:t>E. 3.2.2</w:t>
      </w:r>
    </w:p>
    <w:p>
      <w:r>
        <w:t>Die unrichtige oder unvollständige Sachverhaltsfeststellung bildet ei- nen Beschwerdegrund (Art. 106 Abs. 1 Bst. b AsylG). Unrichtig ist die Sachverhaltsfeststellung, wenn der Verfügung ein aktenwidriger Sachver- halt zugrunde gelegt wird oder Beweise falsch gewürdigt worden sind; un- vollständig ist sie, wenn nicht alle für den Entscheid rechtswesentlichen</w:t>
      </w:r>
    </w:p>
    <w:p>
      <w:r>
        <w:t>D-2277/2020 Seite 8 Sachumstände berücksichtigt werden (vgl. KÖLZ/HÄNER/BERTSCHI, Verwal- tungsverfahren und Verwaltungsrechtspflege des Bundes, 3. Aufl. 2013, Rz. 1043).</w:t>
      </w:r>
    </w:p>
    <w:p>
      <w:r>
        <w:rPr>
          <w:b/>
        </w:rPr>
        <w:t>E. 3.3</w:t>
      </w:r>
    </w:p>
    <w:p>
      <w:r>
        <w:t>Vorliegend ergibt eine Überprüfung der Akten, dass die formellen Rü- gen des Beschwerdeführers unbegründet sind. Die Vorinstanz hat sich in ihrem Entscheid mit allen im erstinstanzlichen Verfahren vorgebrachten entscheidrelevanten Sachverhaltselementen auseinandergesetzt. Auf Be- schwerdeebene ist kein konkreter Sachvortrag zu allfälligen weiteren indi- viduell drohenden Nachteilen erfolgt, der Anlass zu der Annahme geben könnte, der Sachverhalt sei von der Vorinstanz nicht vollständig ermittelt worden. Die vorinstanzliche Verfügung genügt somit den Anforderungen an eine vollständige Feststellung des rechtserheblichen Sachverhalts. Auch aus den Akten ergeben sich keine Hinweise, dass die Vorinstanz nicht alle wesentlichen Sachverhaltselemente festgehalten und dabei die Ausführun- gen des Beschwerdeführers (inklusive der eingereichten Beweismittel) nicht genügend gewürdigt haben könnte. Sie hat zudem nachvollziehbar und im Einzelnen hinreichend differenziert aufgezeigt, von welchen Über- legungen sie sich leiten liess, und dem Beschwerdeführer dadurch die sachgerechte Anfechtung der Verfügung vom 3. April 2020 ermöglicht. Dar- über hinaus zeigt auch die ausführliche Beschwerdeeingabe deutlich auf, dass eine sachgerechte Anfechtung des Entscheids der Vorinstanz ohne Weiteres möglich war. Es besteht auch kein Anspruch darauf, dass die Ver- fügung von derjenigen Person redigiert wird, welche auch die Anhörung durchgeführt hat (vgl. Urteil des BVGer D-5483/2018 vom 14. August 2019 E. 5.3). Hinsichtlich der Anhörung ist zwar festzustellen, dass – wohl auch bedingt durch die lange Dauer – kleineren Übersetzungsschwierigkeiten respektive gewisse qualitative Mängel nicht ausgeschlossen werden können. Diese Mängel sind jedoch nicht derart gewichtig, als dass die Anhörung als nicht verwertbar zu betrachten und die Verfügung aufzuheben wäre. Dies gilt auch für den vermeintlichen Irrtum über die Rechtsvertretung. Darüber hinaus ist festzuhalten, dass der Beschwerdeführer an verschie- denen Stellen die sich aus dem Untersuchungsgrundsatz ergebende Frage der Feststellung des rechtserheblichen Sachverhalts mit der Frage der rechtlichen Würdigung der Sache vermengt, welche die materielle Ent- scheidung über die vorgebrachten Asylgründe betrifft.</w:t>
      </w:r>
    </w:p>
    <w:p>
      <w:r>
        <w:t>D-2277/2020 Seite 9 Nach dem Gesagten ist der Sachverhalt als hinreichend erstellt zu erach- ten. Allfällige weitere Informationen hätte der Beschwerdeführer dem Bun- desverwaltungsgericht schriftlich einreichen können. Die formellen Rügen erweisen sich angesichts dieser Sachlage insgesamt als unbegründet, weshalb keine Grundlage besteht, die Sache aus formellen Gründen auf- zuheben und an das SEM zurückzuweisen. Die diesbezüglichen Rechts- begehren sind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Ablehnung des Asylgesuchs im Wesentlichen damit, dass der Beschwerdeführer ein individuelles Verfolgungsinteresse seitens der staatlichen Behörden nicht überwiegend glaubhaft gemacht habe. Insbesondere sei schwer nachvollziehbar, dass der Verdacht einer Beteiligung an einem Bombenanschlag im Jahr 2007 zu einem fortdauern- den Verfolgungsinteresse bis zur letzten Ausreise des Beschwerdeführers im Jahr 2016 geführt habe. Die Vorinstanz stützte sich dabei auf den Um- stand, dass in all den Jahren kein Strafverfahren angehoben worden sei sowie darauf, dass der Beschwerdeführer legal mit einem Visum im Jahr 2009 aus Sri Lanka nach Katar ausreisen konnte und nach der Rückkehr sich über einen Zeitraum von fast zwei Jahren in Sri Lanka aufgehalten habe, was gegen ein fortbestehendes Verfolgungsinteresse spreche. Zu- dem seien die Angaben zu den Problemen in dieser Zeit widersprüchlich,</w:t>
      </w:r>
    </w:p>
    <w:p>
      <w:r>
        <w:t>D-2277/2020 Seite 10 da der Beschwerdeführer in der Anhörung lediglich Probleme mit der Ar- mee genannt habe, während er in der BzP – neben den in der Anhörung genannten Problemen mit der Armee – auch Probleme mit dem CID ange- führt habe. Des weiteren hielt die Vorinstanz die Schilderungen zur Verhaf- tung nach der Ausschaffung aus Australien im Jahr 2016 zwar für im We- sentlichen glaubhaft, verdeutlichte aber, dass ein solches Vorgehen dafür spräche, dass die Behörden im Rahmen der üblichen Überprüfungen bei Bestehen eines Verdachts für eine Verletzung der Ausreisebestimmungen und einer vermuteten unrechtmässigen Verwendung eines Identitätsdoku- ments entsprächen und der Beschwerdeführer gegen Kaution freigekom- men sei. Zudem seien die Schilderungen der Befragungen und Misshand- lungen nach der gerichtlichen Freilassung nicht ausreichend konkret und substantiiert ausgefallen. Er gebe zudem erhebliche Widersprüche zwi- schen der Darstellung im Schreiben, mit dem die Wiederaufnahme des Verfahrens beantragt wurde und der Darstellung in der Anhörung. Insge- samt seien die Vorbringen des Beschwerdeführers als nicht hinreichend substantiiert und aufgrund zahlreicher Unstimmigkeiten und Ungereimthei- ten als widersprüchlich zu bezeichnen, woran auch die eingereichten Be- weismittel nichts änderten. Ein flüchtlingsrechtlich relevantes Verfolgungs- interesse zum Ausreisezeitpunkt sei damit nicht glaubhaft gemacht. Die weiteren Vorbringen des Beschwerdeführers seien sodann flüchtlings- rechtlich nicht relevant, da keine Hinweise darauf bestünden, dass die gel- tend gemachte potentiell drohende Strafverfolgung wegen illegaler Aus- reise sowie wegen der Benutzung seines Reisepasses durch seinen Bru- der im Jahr 2015 auf einem Verfolgungsmotiv beruhe, zumal auch keine Risikofaktoren gemäss der bundesverwaltungsgerichtlichen Rechtspre- chung bestünden.</w:t>
      </w:r>
    </w:p>
    <w:p>
      <w:r>
        <w:rPr>
          <w:b/>
        </w:rPr>
        <w:t>E. 5.2</w:t>
      </w:r>
    </w:p>
    <w:p>
      <w:r>
        <w:t>Der Beschwerdeführer macht mit seiner Beschwerde im Wesentlichen geltend, dass die Vorinstanz zu Unrecht die Glaubhaftigkeit der Aussagen bestritten habe. So könne dem Beschwerdeführer das Verhalten der Be- hörde, dass bisher wegen der Ereignisse im Jahr 2007 noch kein Strafver- fahren eingeleitet worden sei, nicht entgegengehalten werden. Möglicher- weise hätten die Verdachtsmomente nicht genügt und es sei offenbar vor- gezogen worden, den Beschwerdeführer zu misshandeln, einzuschüchtern und einer Meldepflicht zu unterziehen. Zudem sei auch zum heutigen Tage nicht sicher, ob eine diskriminierende Strafverfolgung drohe, die früher in Sri Lanka an der Tagesordnung gewesen sei. Die Passausstellung im Jahr 2008 spreche ebensowenig gegen die Glaubhaftigkeit, die entsprechenden Ausführungen der Vorinstanz würden nicht überzeugen beziehungsweise</w:t>
      </w:r>
    </w:p>
    <w:p>
      <w:r>
        <w:t>D-2277/2020 Seite 11 seien wenig verständlich (insbesondere bezüglich Fingerabdrücke). Auch sei gerade nicht von einer legalen Ausreise auszugehen, sondern von der Ausreise mit einem gefälschten Pass und dank Geldzahlungen. Die angeb- lichen Widersprüche zwischen der schriftlichen Eingabe vom 27. Novem- ber 2018 und der Anhörung seien gesucht und zum Teil nicht nachvollzieh- bar. Auch dürfe das Schreiben vom 3. Dezember 2018, das allein der Asyl- gesuchstellung gedient habe, nicht herangezogen werden, und diesbezüg- lich sei es während der Anhörung zu Missverständnissen gekommen. Auch die angeblichen Widersprüche zur BzP würden nicht zutreffen, zumal er bereits dort alle relevanten Fluchtelemente erwähnt habe. Schliesslich sei auch der Vorwurf, die Gerichtsdokumente hätten zu einem früheren Zeit- punkt und nicht erst anlässlich der Anhörung eingereicht werden müssen, nicht gerechtfertigt, zumal die Anhörung ihrerseits viel zu spät stattgefun- den habe. Insgesamt sei die Argumentation der Vorinstanz unausgewogen und auf die negativen Elemente und eine Ablehnung ausgerichtet.</w:t>
      </w:r>
    </w:p>
    <w:p>
      <w:r>
        <w:t>Auch erfülle der Beschwerdeführer mehrere Risikofaktoren im Sinne der Rechtsprechung, da er bereits mehrfach verhaftet worden sei, keine Iden- titätsdokumente besitze und Narben am Körper aufweise, die jedenfalls bei der Einreisebefragung sichtbar werden würden.</w:t>
      </w:r>
    </w:p>
    <w:p>
      <w:r>
        <w:rPr>
          <w:b/>
        </w:rPr>
        <w:t>E. 6.1</w:t>
      </w:r>
    </w:p>
    <w:p>
      <w:r>
        <w:t>Aufgrund der Aktenlage ist mit der Vorinstanz darin einig zu gehen, dass die Vorbringen des Beschwerdeführers zum Verfolgungsinteresse seitens der Behörden in Sri Lanka wegen des Bombenanschlags im Jahr 2007 in sich widersprüchlich sind und im Wesentlichen nur oberflächliche Angaben sowie keine plausible Erklärung des andauernden Verfolgungs- interesses enthalten. So wird einerseits nicht deutlich, aus welchem Grund ein so schwerwiegender Verdacht auf dem Beschwerdeführer lastet, da er die Verbindung zu dem Freund, der diesen Anschlag mutmasslich verübt haben soll, lediglich sehr oberflächlich geschildert und auch auf Nachfrage keine Details genannt hat. Zum anderen sprechen insbesondere die legale Ausreise nach Katar sowie die vorgebrachten Vorkommnisse nach den Wiedereinreisen aus Katar und aus Australien nicht dafür, dass der Be- schwerdeführer weiterhin der Beteiligung an einem Bombenanschlag ver- dächtig wäre. Es wird zwar in diesem Kontext nicht deutlich, ob er mit sei- nem eigenen Pass gereist ist oder nicht, seinen Angaben gemäss war aber seine Identität den Behörden bei seiner Rückkehr bekannt, so dass davon ausgegangen werden muss, dass die Identität auch bei der Ausstellung des Dokuments und bei der Ausreise bekannt war. Diesbezüglich ist mit</w:t>
      </w:r>
    </w:p>
    <w:p>
      <w:r>
        <w:t>D-2277/2020 Seite 12 der Vorinstanz einig zu gehen, dass bei einem bestehenden Verfolgungs- interesse weder ein Visum erteilt worden wäre, noch eine unbehelligte Aus- reise möglich gewesen wäre. Auch bei der Wiedereinreise wären weitere Kontrollmassnahmen zu erwarten gewesen als die vorgebrachten Befra- gungen und die angeordneten Meldepflichten, wenn ein Verfolgungsinte- resse fortbestanden hätte. Die darüber hinaus geltend gemachten Verfol- gungsmassnahmen und Misshandlungen seitens der Armee nach seiner Rückkehr nach B._______ im Jahr 2016 sind aus Sicht des Gerichts nicht glaubhaft. Zu Recht hat das SEM diesbezüglich auf die gänzlich fehlende Substanz hingewiesen, was umso schwerer zu gewichten ist, wenn man diese Schilderungen mit der ausgesprochen ausführlichen Darstellung be- züglich der Ereignisse anlässlich der Wiedereinreise vergleicht.</w:t>
      </w:r>
    </w:p>
    <w:p>
      <w:r>
        <w:rPr>
          <w:b/>
        </w:rPr>
        <w:t>E. 6.2</w:t>
      </w:r>
    </w:p>
    <w:p>
      <w:r>
        <w:t>Dies beschlägt auch die Glaubhaftmachung eines fortbestehenden Verfolgungsinteresses, so dass es nicht entscheidrelevant darauf an- kommt, dass der Beschwerdeführer zu Recht rügt, dass die Argumentation des SEM zur Glaubhaftmachung teilweise unausgewogen erscheint. Viel- mehr ist festzuhalten, dass der Beschwerdeführer ein aktuelles Verfol- gungsinteresse sowie das Bestehen eines Verfolgungsmotivs nicht glaub- haft gemacht hat. Es ist insoweit davon auszugehen, dass auch die in den Arztberichten festgehaltene posttraumatische Belastungsstörung auf früheren Ereignisse beruht, die mit der Ausreise im Jahr 2016 in keinem zeitlichen und inhaltlichen Zusammenhang stehen.</w:t>
      </w:r>
    </w:p>
    <w:p>
      <w:r>
        <w:rPr>
          <w:b/>
        </w:rPr>
        <w:t>E. 6.3</w:t>
      </w:r>
    </w:p>
    <w:p>
      <w:r>
        <w:t>Nach dem Gesagten erfüllte der Beschwerdeführer im Zeitpunkt seiner Ausreise die Flüchtlingseigenschaft nicht. Es bleibt zu prüfen, ob er bei ei- ner Rückkehr nach Sri Lanka mit beachtlicher Wahrscheinlichkeit ernst- hafte Nachteile im Sinne von Art. 3 AsylG zu befürchten hat, weshalb die Flüchtlingseigenschaft festzustellen wäre.</w:t>
      </w:r>
    </w:p>
    <w:p>
      <w:r>
        <w:rPr>
          <w:b/>
        </w:rPr>
        <w:t>E. 7.1</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Nach dieser Praxis, an welcher das Gericht festhält, orientiert sich die Beurteilung des Risikos von Rückkehrenden, Opfer ernst- hafter Nachteile in Form von Verhaftung und Folter zu werden, an verschie- denen Risikofaktoren. Dabei handelt es sich um das Vorhandensein einer tatsächlichen oder vermeintlichen, aktuellen oder vergangenen Verbindung</w:t>
      </w:r>
    </w:p>
    <w:p>
      <w:r>
        <w:t>D-2277/2020 Seite 13 zu den LTTE, um Teilnahme an exilpolitischen regimekritischen Handlun- gen und um Vorliegen früherer Verhaftungen durch die sri-lankischen Be- hörden, üblicherweise im Zusammenhang mit einer tatsächlichen oder ver- muteten Verbindung zu den LTTE (sog. stark risikobegründende Faktoren, vgl. a.a.O. E. 8.4.1 – 8.4.3). Einem gesteigerten Risiko, genau befragt und überprüft zu werden, unterliegen ausserdem Personen, die ohne die erfor- derlichen Identitätspapiere nach Sri Lanka einreisen wollen, die zwangs- weise nach Sri Lanka zurückgeführt werden oder die über die Internatio- nale Organisation für Migration (IOM) nach Sri Lanka zurückkehren, sowie Personen mit gut sichtbaren Narben (sog. schwach risikobegründende Faktoren, vgl. a.a.O. E. 8.4.4 und 8.4.5). Das Gericht wägt im Einzelfall ab, ob die konkret glaubhaft gemachten Risikofaktoren eine asylrechtlich rele- vante Gefährdung der betreffenden Person ergeben. Dabei zieht es in Be- tracht, dass insbesondere jene Rückkehrer eine begründete Furcht vor ernsthaften Nachteilen im Sinne von Art. 3 AsylG haben, denen seitens der sri-lankischen Behörden zugeschrieben wird, dass sie bestrebt seien, den tamilischen Separatismus wiederaufleben zu lassen (vgl. a.a.O. E. 8.5.1). An dieser Einschätzung vermag die aktuelle – zwar als volatil zu bezeich- nende – Lage in Sri Lanka nichts zu ändern. Das Bundesverwaltungsge- richt ist sich der Veränderungen in Sri Lanka bewusst, beobachtet die Ent- wicklungen aufmerksam und berücksichtigt diese bei seiner Entscheidfin- dung. Es gibt zum heutigen Zeitpunkt keinen Grund zur Annahme, dass seit dem Machtwechsel in Sri Lanka ganze Bevölkerungsgruppen kollektiv einer Verfolgungsgefahr ausgesetzt wären.</w:t>
      </w:r>
    </w:p>
    <w:p>
      <w:r>
        <w:rPr>
          <w:b/>
        </w:rPr>
        <w:t>E. 7.2</w:t>
      </w:r>
    </w:p>
    <w:p>
      <w:r>
        <w:t>Nach den vorstehenden Erwägungen ist davon auszugehen, dass der Beschwerdeführer nach seiner Rückkehr aus Katar und seiner Ausschaf- fung aus Australien für einige Zeit in Sri Lanka gelebt hat, ohne dass er dabei in asylrelevanter Weise behelligt worden wäre. Dass er nunmehr bei einer Wiedereinreise Verfolgung zu befürchten hätte, ist nicht ersichtlich. Es ist nicht davon auszugehen, dass ihm die Behörden bei einer Rückkehr eine enge Verbindung zu den LTTE im Sinne obiger Rechtsprechung un- terstellen würden. Insbesondere hat er selbst betont, dass seine Familie mit der «Bewegung» nichts zu tun hatte (SEM-Akte A 38/F115) und dies- bezüglich auch nicht vorgebracht, er sei in Verdacht geraten, die LTTE zu unterstützen. Dass er nunmehr bei einer Wiedereinreise eine Verfolgung aus diesem Grund zu befürchten hätte, ist nicht ersichtlich. Das Gesagte gilt auch unter Berücksichtigung der schwach risikobegründenden Fakto- ren. Die nicht vorhandenen Identitätsdokumente und die Narben fallen hier nicht genügend ins Gewicht, zumal der Beschwerdeführer diesbezüglich</w:t>
      </w:r>
    </w:p>
    <w:p>
      <w:r>
        <w:t>D-2277/2020 Seite 14 auch keine Probleme im Zuge der Einreisekontrollen nach der Rückkehr aus Australien geltend gemacht hat. Auch dass er sich mittlerweile sechs Jahre in der Schweiz aufhält und aus diesem Land zurückkehren würde, vermag an der Beurteilung der Gefährdungssituation nichts zu ändern. Ebenso wenig vermögen dies die politischen Veränderungen seit Novem- ber 2019. Der Beschwerdeführer hat keinen persönlichen Bezug zu diesen Ereignissen.</w:t>
      </w:r>
    </w:p>
    <w:p>
      <w:r>
        <w:rPr>
          <w:b/>
        </w:rPr>
        <w:t>E. 7.3</w:t>
      </w:r>
    </w:p>
    <w:p>
      <w:r>
        <w:t>Eine Gesamtwürdigung aller Risikofaktoren lässt es vorliegend nicht überwiegend wahrscheinlich erscheinen, dass der Beschwerdeführer bei einer Rückkehr nach Sri Lanka einem erhöhten Verfolgungsrisiko ausge- setzt wäre und ernsthafte Nachteile im Sinne von Art. 3 Abs. 2 AsylG zu befürchten hätte. Das SEM hat demnach zu Recht festgestellt, dass er die Flüchtlingseigenschaft nicht erfüllt,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D-2277/2020 Seite 15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Aufgrund der Aktenlage sind sodann keine Anhaltspunkte dafür ersichtlich, dass er für den Fall einer Ausschaffung in den Heimatstaat dort mit beacht- licher Wahrscheinlichkeit einer nach Art. 3 EMRK oder Art. 1 FoK verbote- nen Strafe oder Behandlung ausgesetzt wäre. Gemäss Praxis des EGMR sowie jener des UN-Anti-Folterausschusses müsste der Beschwerdeführer eine konkrete Gefahr («real risk») nachweisen oder glaubhaft machen, dass ihm im Fall einer Rückschiebung Folter oder unmenschliche Behand- lung drohen würde (vgl. Urteil des EGMR Saadi gegen Italien 28. Februar 2008, Grosse Kammer, 37201/06, §§ 124–127 m.w.H.). Das Bundesver- waltungsgericht geht zum heutigen Zeitpunkt davon aus, dass die jüngsten politischen Entwicklungen in Sri Lanka den Wegweisungsvollzug weiterhin nicht als generell unzulässig erscheinen lassen (vgl. dazu statt vieler Urteil des BVGer D-6898/2019 vom 14. Januar 2022, E. 9.2.3). Es ergeben sich aus den Akten auch keine konkreten Anhaltspunkte dafür, dass der Be- schwerdeführer aus individuellen Gründen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t>D-2277/2020 Seite 16 Nach dem Gesagten ist der Vollzug der Wegweisung sowohl im Sinne der asyl- als auch der völkerrechtlichen Bestimmungen zulässig.</w:t>
      </w:r>
    </w:p>
    <w:p>
      <w:r>
        <w:rPr>
          <w:b/>
        </w:rPr>
        <w:t>E. 9.4</w:t>
      </w:r>
    </w:p>
    <w:p>
      <w:r>
        <w:t>Gemäss Art. 83 Abs. 4 AIG kann der Wegweisungsvollzug für Auslän- derinnen und Ausländer unzumutbar sein, wenn sie im Heimat- oder Her- kunftsstaat aufgrund von Situationen wie Krieg, Bürgerkrieg, allgemeiner Gewalt und medizinischer Notlage konkret gefährdet sind. Wird eine kon- krete Gefährdung festgestellt, ist – unter Vorbehalt von Art. 83 Abs. 7 AIG – die vorläufige Aufnahme zu gewähren. Der bewaffnete Konflikt zwischen der sri-lankischen Regierung und den LTTE ist im Mai 2009 zu Ende gegangen. In Sri Lanka herrscht aktuell we- der Krieg noch eine Situation allgemeiner Gewalt. Gemäss Rechtspre- chung ist der Wegweisungsvollzug sowohl in die Nord- als auch in die Ost- provinz zumutbar, wenn das Vorliegen der individuellen Zumutbarkeitskri- terien (insbesondere Existenz eines tragfähigen familiären oder sozialen Beziehungsnetzes sowie Aussichten auf eine gesicherte Einkommens- und Wohnsituation) bejaht werden kann (vgl. Urteil des BVGer E-1866/2015 vom 16. Juli 2016 E. 13.2). An dieser Einschätzung ist auch unter Berück- sichtigung der aktuellen Entwicklungen in Sri Lanka festzuhalten (vgl. bis zum Rücktritt des Premierministers etwa Urteil des BVGer E-5142/2019 vom 3. Mai 2022 E. 6.3).</w:t>
      </w:r>
    </w:p>
    <w:p>
      <w:r>
        <w:rPr>
          <w:b/>
        </w:rPr>
        <w:t>E. 9.5</w:t>
      </w:r>
    </w:p>
    <w:p>
      <w:r>
        <w:t>Der Beschwerdeführer macht über die allgemeine Situation in Sri Lanka und die nicht in rechtsgenüglicher Weise glaubhaft gemachte dro- hende individuelle Verfolgung hinaus geltend, der Wegweisungsvollzug sei aus gesundheitlichen Gründen nicht zumutbar. Diesbezüglich legte er ver- schiedene Arztberichte und Beweismittel vor. Es könne bei einem Alter von 39 Jahren nicht mehr davon ausgegangen werden, dass er «jung» sei und es sei durch die vorgelegten Berichte belegt, dass er nicht gesund sei. Zu- dem könne nicht davon ausgegangen werden, dass er sein ganzes Leben in B._______ verbracht habe, da er seit 2009 lediglich ein Jahr dort ver- bracht habe. Der Wegweisungsvollzug sei daher unzumutbar.</w:t>
      </w:r>
    </w:p>
    <w:p>
      <w:r>
        <w:rPr>
          <w:b/>
        </w:rPr>
        <w:t>E. 9.6</w:t>
      </w:r>
    </w:p>
    <w:p>
      <w:r>
        <w:t>Die diesbezüglichen Vorbringen in der Beschwerde erschöpfen sich im Wesentlichen in einer Kritik an der Feststellung, dass der Beschwerdefüh- rer «jung und gesund» sei und dass der Entscheid «mitten im Lockdown» ergangen sei, ohne auf die dadurch bedingten allfälligen Auswirkungen bei einer potentiellen Rückkehr nach Sri Lanka einzugehen. Diese Vorbringen genügen nicht, um das Vorliegen individueller Unzumutbarkeitskriterien zu</w:t>
      </w:r>
    </w:p>
    <w:p>
      <w:r>
        <w:t>D-2277/2020 Seite 17 bejahen. Vielmehr ist davon auszugehen, dass der Beschwerdeführer so- wohl seine vorgebrachten Haftentlassungen gegen Kaution als auch seine Ausreisen nach Katar, Australien und zuletzt mit einem von den maltesi- schen Behörden ausgestellten Visum über verschiedene Stationen in die Schweiz nicht hätte bewerkstelligen können, wenn er nicht auf die Unter- stützung eines intakten Beziehungsnetzes in Sri Lanka hätte zurückgreifen können. Es ist davon auszugehen, dass er bei einer allfälligen Rückkehr wiederum auf dieses Beziehungsnetz zurückgreifen kann. Es darf davon ausgegangen werden, dass dieses Netz auch insoweit tragfähig ist, dass es ihn bei der Wiedereingliederung und dem Zugang zur medizinischen Behandlung unterstützen wird. Vor diesem Hintergrund ist nicht davon aus- zugehen, dass er bei einer Rückkehr nach Sri Lanka in eine existenzbedro- hende Situation geraten würde.</w:t>
      </w:r>
    </w:p>
    <w:p>
      <w:r>
        <w:rPr>
          <w:b/>
        </w:rPr>
        <w:t>E. 9.7</w:t>
      </w:r>
    </w:p>
    <w:p>
      <w:r>
        <w:t>Auch die in der Beschwerde erstmals ausführlicher vorgebrachten ge- sundheitlichen Beeinträchtigungen führen nicht zu einer Unzumutbarkeit des Wegweisungsvollzugs. Bereits anlässlich der Anhörung gab der Be- schwerdeführer an, es gehe ihm gesundheitlich nicht so gut, er habe De- pressionen und grüble ständig über seine Zukunft nach (SEM-Akte A 38/F6 und F7). Auch wies er auf die sichtbaren Narben, die mutmasslich auf Fol- terungen beruhen und seine körperlichen und psychischen Schwierigkei- ten mit diesen Beeinträchtigungen hin (SEM-Akte A-38/F116 und F117 so- wie A 6/Ziff. 8.02). Dem Beschwerdeführer ist mit Blick darauf zuzustim- men, dass die Einschätzung im Entscheid der Vorinstanz, er sei «gesund», aufgrund der Aktenlage nur schwer nachvollziehbar erscheint. Im ärztli- chen Bericht vom 31. August 2020 wird indes im Weiteren bloss ausge- führt, dass aus psychiatrischer Sicht ein Verbleib in der Schweiz zu befür- worten wäre. Diese Einschätzung belegt jedoch keinen Behandlungsbe- darf, der aus rechtlicher Sicht die Unzumutbarkeit des Wegweisungsvoll- zugs aus gesundheitlichen Gründen bewirken würde. Insbesondere ergibt sich aus den vorgelegten Berichten, dass beim Beschwerdeführer keine Hinweise auf Selbst- und Fremdgefährdung bestehen und er in der Lage ist, im Hinblick auf seine gesundheitliche Situation selbständig Absprachen zu treffen und diese auch einzuhalten. Gemäss konstanter Praxis kann aus gesundheitlichen Gründen nur dann auf Unzumutbarkeit des Wegwei- sungsvollzugs im Sinne von Art. 83 Abs. 4 AIG geschlossen werden, wenn eine absolut notwendige medizinische Behandlung im Heimatland schlicht nicht zur Verfügung steht und die fehlende Möglichkeit der (Weiter-)Be- handlung bei einer Rückkehr zu einer raschen und lebensgefährdenden Beeinträchtigung des Gesundheitszustands, zur Invalidität oder gar zum Tod der betroffenen Person führt. Nicht erforderlich ist, dass im Heimatstaat</w:t>
      </w:r>
    </w:p>
    <w:p>
      <w:r>
        <w:t>D-2277/2020 Seite 18 eine dem schweizerischen Standard entsprechende Behandlung verfügbar ist (vgl. BVGE 2011/50 E. 8.3, 2009/52 E. 10.1, 2009/51 E. 5.5, 2009/28 E. 9.3.1, 2009/2 E. 9.3.2). Die vorgebrachten gesundheitlichen Beeinträch- tigungen lassen daher nicht auf eine medizinische Notlage schliessen. Ob- wohl das öffentliche Gesundheitssystem in Sri Lanka nach Kenntnis des Gerichts bezüglich Kapazität und Infrastruktur nach wie vor gewisse Män- gel aufweist, die sich mit der aktuellen Wirtschaftskrise noch akzentuiert haben dürften, ist vorliegend dennoch davon auszugehen, dass eine allfäl- lig notwendige Behandlung der psychischen Beschwerden des Beschwer- deführers im Rahmen einer ambulanten Therapie im Distrikt E._______ in verschiedenen staatlichen Institutionen zugänglich wäre und grundsätzlich vom Staat bezahlt würde. Ferner wäre eine allfällige medikamentöse Be- handlung – namentlich auch mit Antidepressiva – in Sri Lanka bei der State Pharmaceutical Corporation (SPC) grundsätzlich kostenlos erhältlich, wenngleich die Nachfrage nach kostenlos zur Verfügung gestellten Medi- kamenten zur Behandlung psychischer Krankheiten das Angebot des SPC bisweilen übersteigt. Auch eine allfällige ambulante oder stationäre psychi- atrische Behandlung wäre im Distrikt E._______ nach den dem Gericht vorliegenden Informationen möglich (vgl. Referenzurteil des BVGer E-1866/2015 vom 15. Juli 2016 E. 14.2.2 m.w.H. sowie statt vieler das Ur- teil des BVGer D-462/2018 vom 12. Juni 2019 E. 6.3.3, siehe auch den Überblick über die verfügbaren Krankenhäuser im Distrikt E._______ sei- tens des Ministry of Health, Hospital Profile, undatiert, http://www.health.gov.lk/HFSurvey/Public_Hospital_Profile, abgerufen am 24.05.2022). Angesichts seiner familiären Verhältnisse dürfte der Be- schwerdeführers auch in der Lage sein, sowohl die notwendige Therapie aufzusuchen, als auch allfällige Zuzahlungen zu leisten, die aufgrund der in der Praxis immer noch nicht umfassend gewährleisteten Kostenfreiheit der Behandlung notwendig sein könnten (vgl. zur in Sri Lanka generell World Health Organisation [WHO], Sri Lanka Health System Review, 2021, https://apps.who.int/iris/rest/bitstreams/1354526/retrieve, abgerufen am 24.05.2022; der Review bestätigt in Kap. 5.11 spezifisch die Verbesserun- gen hinsichtlich der Verfügbarkeit von Behandlungsmöglichkeiten bei psy- chischen Erkrankungen). Demnach wäre die nach den vorgelegten Arztbe- richten allfällig notwendige Behandlung der psychischen Beschwerden des Beschwerdeführers für ihn auch in Sri Lanka zugänglich. Dies entspricht der ständigen Praxis des Bundesverwaltungsgerichts (vgl. Referenzurteil E-1866/2015 vom 15. Juli 2016 E. 14.2.2 m.w.H. sowie auch statt vieler Urteil des Bundesverwaltungsgerichts D-7241/2017 vom 28. Februar 2022 E. 11.3.4 und etwa WHO, Sri Lanka Health System Review, 2021 sowie</w:t>
      </w:r>
    </w:p>
    <w:p>
      <w:r>
        <w:t>D-2277/2020 Seite 19 UK Home Office, Report of a Home Office fact-finding mission to Sri Lanka, 20. Januar 2020). Nach dem Gesagten erweist sich der Vollzug der Wegweisung auch als zumutbar.</w:t>
      </w:r>
    </w:p>
    <w:p>
      <w:r>
        <w:rPr>
          <w:b/>
        </w:rPr>
        <w:t>E. 9.8</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9.9</w:t>
      </w:r>
    </w:p>
    <w:p>
      <w:r>
        <w:t>Abschliessend bleibt festzuhalten, dass die aktuelle Lage im Zusam- menhang mit der Coronavirus-Pandemie (COVID-19) grundsätzlich nicht geeignet ist, die Durchführbarkeit des Wegweisungsvollzugs in Frage zu stellen. Die Anordnung einer vorläufigen Aufnahme setzt voraus, dass ein Vollzugshindernis nicht nur vorübergehender Natur ist, sondern voraus- sichtlich eine gewisse Dauer bestehen bleibt. Ist dies nicht der Fall, so ist dem temporären Hindernis im Rahmen der Vollzugsmodalitäten Rechnung zu tragen (vgl. Entscheidungen und Mitteilungen der Schweizerischen Asylrekurskommission [EMARK] 1995 Nr. 14 E. 8d f.). Bei der Coronavirus- Pandemie handelt es sich, soweit derzeit feststellbar, allenfalls um ein tem- poräres Vollzugshindernis. Abgesehen davon sind derzeit kaum Reiserest- riktionen zu erkennen. Es obliegt somit den kantonalen Behörden, der Ent- wicklung der Situation bei der Wahl des Zeitpunkts des Vollzugs in ange- messener Weise Rechnung zu tragen (vgl. statt vieler: Urteil des BVGer D-139/2020 vom 19. Juni 2020 E. 9.6 m.w.H.).</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 soweit diesbezüglich entscheidrelevant – vollständig feststellt (Art. 106 Abs. 1 AsylG). Die Beschwerde ist abzuweisen.</w:t>
      </w:r>
    </w:p>
    <w:p>
      <w:r>
        <w:rPr>
          <w:b/>
        </w:rPr>
        <w:t>E. 11.1</w:t>
      </w:r>
    </w:p>
    <w:p>
      <w:r>
        <w:t>Bei diesem Ausgang des Verfahrens wären die Kosten des Verfah- rens grundsätzlich dem Beschwerdeführer aufzuerlegen (Art. 63 Abs. 1 VwVG; Art. 1–3 des Reglements vom 21. Februar 2008 über die Kosten</w:t>
      </w:r>
    </w:p>
    <w:p>
      <w:r>
        <w:t>D-2277/2020 Seite 20 und Entschädigungen vor dem Bundesverwaltungsgericht [VGKE, SR 173.320.2]). Aufgrund der Gewährung der unentgeltlichen Rechts- pflege (nach Art. 65 Abs. 1 VwVG) ist jedoch von einer Kostenauflage ab- zusehen.</w:t>
      </w:r>
    </w:p>
    <w:p>
      <w:r>
        <w:rPr>
          <w:b/>
        </w:rPr>
        <w:t>E. 11.2</w:t>
      </w:r>
    </w:p>
    <w:p>
      <w:r>
        <w:t>Da der rubrizierte Rechtsvertreter dem Beschwerdeführer als amtli- cher Rechtsbeistand beigeordnet worden ist, ist er für seinen Aufwand un- besehen des Ausgangs des Verfahrens zu entschädigen, soweit dieser sachlich notwendig war (vgl. Art. 12 i.V.m. Art. 8 Abs. 2 VGKE). Die Rechts- vertretung legte am 18. Mai 2020 eine Kostennote vor, in welcher ein Ge- samtaufwand von 10.5 Stunden ausgewiesen wird. Dabei macht der Rechtsvertreter einen Stundenansatz von Fr. 200.– geltend, was im Falle der amtlichen Vertretung durch eine mandatierte nicht-anwaltliche Rechts- vertretung gemessen an der Praxis als zu hoch erscheint und entspre- chend zu kürzen ist. Praxisgemäss wäre in der Regel von einem Stunden- ansatz von Fr. 100.– bis Fr. 150.– auszugehen und es sind keine Gründe ersichtlich, von dieser Regel abzuweichen (Art. 12 i.V.m. Art. 10 Abs. 2 des Reglements vom 21. Februar 2008 über die Kosten und Entschädigungen vor dem Bundesverwaltungsgericht [VGKE, SR 173.320.2]), so dass der Stundensatz auf Fr. 150.– festzusetzen ist. Der geltend gemachte Aufwand erscheint in der Sache als angemessen. Dazu macht die amtliche Rechts- vertretung Auslagen von Fr. 40.– geltend, welche als berechtigt erschei- nen. Der Rechtsvertreter ist ausweislich der eingereichten Honorarnote nicht mehrwertsteuerpflichtig, weshalb das amtliche Honorar keinen Mehr- wertsteuerzuschlag im Sinne von Art. 9 Abs. 1 Bst. c VGKE umfasst. Nach dem Gesagten ist dem rubrizierten Rechtsvertreter ein amtliches Honorar von Fr. 1'615.– auszurichten.</w:t>
      </w:r>
    </w:p>
    <w:p>
      <w:r>
        <w:t>(Dispositiv nächste Seite)</w:t>
      </w:r>
    </w:p>
    <w:p>
      <w:r>
        <w:t>D-2277/2020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