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D-2275/2012 vom 31. Mai 2012</w:t>
      </w:r>
    </w:p>
    <w:p>
      <w:r>
        <w:t>Bundesverwaltungsgericht, 2012-05-31, DE</w:t>
      </w:r>
    </w:p>
    <w:p>
      <w:r>
        <w:rPr>
          <w:b/>
        </w:rPr>
        <w:t xml:space="preserve">Quelle: </w:t>
      </w:r>
      <w:r>
        <w:t>https://mcp.opencaselaw.ch/entscheid/bvger_D-2275_2012</w:t>
      </w:r>
    </w:p>
    <w:p>
      <w:r>
        <w:t>FR: TAF D-2275/2012 du 31 mai 2012</w:t>
      </w:r>
    </w:p>
    <w:p>
      <w:r>
        <w:t>IT: TAF D-2275/2012 del 31 maggio 2012</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Zwar geht aus diesen Bestimmungen die Zuständigkeit des Bundesverwaltungsgerichts für Beschwerden gegen Verfügungen des BFM betreffend Wiedererwägungsgesuche nicht explizit hervor. Indessen ergibt sie sich aus dem in Lehre und Praxis anerkannten Grundsatz, wonach gegen negative Entscheide der Vorinstanz über Wiedererwägungsgesuche diejenigen Rechtsmittel ergriffen werden können, welche gemäss Rechtsmittelordnung gegen die vor dem Wiedererwägungsgesuch ergangene Verfügung offenstehen (vgl. die weiterhin gültige Praxis der vormaligen Schweizerischen Asylrekurskommission [ARK] in Entscheidungen und Mitteilungen der ARK [EMARK] 2003 Nr. 7 E. 2 a.aa).</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EMARK 2003 Nr. 17 E. 2.a S. 103 f. mit weiteren Hinweisen).</w:t>
      </w:r>
    </w:p>
    <w:p>
      <w:r>
        <w:rPr>
          <w:b/>
        </w:rPr>
        <w:t>E. 5.1</w:t>
      </w:r>
    </w:p>
    <w:p>
      <w:r>
        <w:t>Die Vorinstanz hat in casu die Eingabe vom 1. März 2012 als Wiedererwägungsgesuch entgegen genommen und dieses materiell abgewiesen, was im Ergebnis zu bestätigen ist. Zu Recht führte die Vorinstanz in ihrer Verfügung aus, dass die vom Beschwerdeführer in seiner Eingabe vorgenommene Urteilskritik bezüglich des angeblich zu Unrecht als Fälschung erkannten Beweismittels offensichtlich nicht zur Wiedererwägung durch das BFM zu führen vermag. Es wurde denn auch nichts vorgebracht, was revisionsrechtlich von Relevanz hätte sein können, weshalb die Vorinstanz auch zu Recht darauf verzichtet hat, die Eingabe als Revisionsgesuch an das Bundesverwaltungsgericht zu überweisen. Im Weiteren war die Eingabe vom 1. März 2012 mit "recours" bezeichnet und der Beschwerdeführer behauptete ohne weitere Belege, an einer Demonstration vom 16. Februar 2012 teilgenommen zu haben. Er wies dabei darauf hin, weil er bereits vor der Ausreise politisch tätig und deshalb der Verfolgung ausgesetzt gewesen sei, müsse er nun im Falle der Rückkehr mit Schwierigkeiten rechnen. Zwar wäre ein Gesuch um Schutz vor Verfolgung wegen einer nachträglich veränderten Sachlage grundsätzlich als zweites Asylgesuch zu behandeln (vgl. EMARK 2006 Nr. 20 E. 2.3. S. 214). Aufgrund der gesamten Umstände war das BFM vorliegend jedoch nicht gehalten, die Eingabe als formelles zweites Asylgesuch entgegenzunehmen, sind doch an die Substanziiertheit eines solchen Gesuches gewisse Anforderungen zu stellen. Ausserdem verwies der Beschwerdeführer ausdrücklich auf eine Gefährdung im Zusammenhang mit seinen bisher geltend gemachten Fluchtgründen, die jedoch mit in Rechtskraft erwachsenem Entscheid als unglaubhaft erkannt worden waren. Demnach hat das BFM zu Recht im Rahmen eines Wiedererwägungsverfahrens auf die Rechtskraft des ablehnenden Asylentscheides hingewiesen und ausgeführt, in der Eingabe vom 1. März 2012 würde nichts geltend gemacht, das eine neue Beurteilung rechtfertigen würde.</w:t>
      </w:r>
    </w:p>
    <w:p>
      <w:r>
        <w:rPr>
          <w:b/>
        </w:rPr>
        <w:t>E. 5.2</w:t>
      </w:r>
    </w:p>
    <w:p>
      <w:r>
        <w:t>In seiner Eingabe vom 20. April 2012, die als Beschwerde entgegen zu nehmen war, reicht der Beschwerdeführer nun ein Beweismittel ein, das sein exilpolitisches Engagement beweisen soll. Auch diese Eingabe vermag jedoch die bisherigen Erwägungen nicht in einem anderen Licht erscheinen zu lassen. So beschränkt sich der Beschwerdeführer darauf, das erwähnte Beweismittel einzureichen, auf dem er anlässlich der Manifestation vom 16. Februar 2012 zu erkennen sei. Er unterlässt es jedoch zu substanziieren, inwiefern sich daraus eine mögliche Gefährdung ergeben könnte. In diesem Zusammenhang ist zunächst einmal auf das Urteil vom 8. Februar 2012 des Bundesverwaltungsgerichts zu verweisen, welches die Beschwerde im Hinblick auf widersprüchliche, unsubstanziierte und wirklichkeitsfremde Vorbringen abgewiesen hat. Dementsprechend steht fest, dass der Beschwerdeführer in seinem Heimatstaat kein politisch bekannter Aktivist gewesen sein kann. Zudem weist er auch in der Schweiz, wie bereits seinen eigenen Vorbringen in der Beschwerde vom 20. April 2012 zu entnehmen ist, nicht das Profil einer politischen Führerpersönlichkeit auf, zumal ein solches nicht schon durch die blosse Teilnahme an einer Manifestation in N._______, auffällige Bekleidung, das Tragen einer Pelzmütze im Sowjetstil oder mit Blick Richtung Kamera generiert wird. Es wird denn auch in keiner Weise geltend gemacht, weshalb die heimatlichen Behörden auf den bisher unbescholtenen Beschwerdeführer hätten aufmerksam werden sollen. Insgesamt macht der Beschwerdeführer demnach keine substanziierten Gründe geltend, die es rechtfertigen würden, ein zweites Asylgesuch in die Wege zu leiten. Es entsteht vielmehr der Eindruck, er versuche mit allen Mitteln, die ihm angesetzte Ausreisefrist hinauszuzögern, was als rechtsmissbräuchlich zu erkennen ist.</w:t>
      </w:r>
    </w:p>
    <w:p>
      <w:r>
        <w:rPr>
          <w:b/>
        </w:rPr>
        <w:t>E. 5.3</w:t>
      </w:r>
    </w:p>
    <w:p>
      <w:r>
        <w:t>Bei dieser Sachlage erübrigt es sich, auf weitere Vorbringen einzugehen. Zur Vermeidung von Wiederholungen kann stattdessen auf die Erwägungen in der Zwischenverfügung vom 30. April 2012 sowie diejenigen in der angefochtenen Verfügung vom 3. April 2012 des BFM verwiesen werden. Diesen Erwägungen gemäss hat das BFM die Eingabe vom 1. März 2012 zu Recht und mit zutreffender Begründung im Rahmen eines Wiedererwägungsgesuches abgewiesen.</w:t>
      </w:r>
    </w:p>
    <w:p>
      <w:r>
        <w:rPr>
          <w:b/>
        </w:rPr>
        <w:t>E. 6</w:t>
      </w:r>
    </w:p>
    <w:p>
      <w:r>
        <w:t>Aus diesen Erwägungen ergibt sich, dass die angefochtene Verfügung Bundesrecht nicht verletzt, den rechtserheblichen Sachverhalt richtig und vollständig feststellt und angemessen ist (Art. 106 AsylG). Die Beschwerde ist abzuweisen.</w:t>
      </w:r>
    </w:p>
    <w:p>
      <w:r>
        <w:rPr>
          <w:b/>
        </w:rPr>
        <w:t>E. 7</w:t>
      </w:r>
    </w:p>
    <w:p>
      <w:r>
        <w:t>Bei diesem Ausgang des Verfahrens sind die Kosten dem Beschwerdeführer aufzuerlegen (Art. 63 Abs. 1 VwVG) und im Hinblick auf die bereits in der Zwischenverfügung vom 30. April 2012 dargelegte Mutwilligkeit der Prozessführung auf insgesamt Fr. 2'400.- festzusetzen (Art. 1 - 3 des Reglements vom 21. Februar 2008 über die Kosten und Entschädigungen vor dem Bundesverwaltungsgericht [VGKE, SR 173.320.2]) und mit dem am 10. Mai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