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D-2271/2013 vom 20. August 2013</w:t>
      </w:r>
    </w:p>
    <w:p>
      <w:r>
        <w:t>Bundesverwaltungsgericht, 2013-08-20, DE</w:t>
      </w:r>
    </w:p>
    <w:p>
      <w:r>
        <w:rPr>
          <w:b/>
        </w:rPr>
        <w:t xml:space="preserve">Quelle: </w:t>
      </w:r>
      <w:r>
        <w:t>https://mcp.opencaselaw.ch/entscheid/bvger_D-2271_2013</w:t>
      </w:r>
    </w:p>
    <w:p>
      <w:r>
        <w:t>FR: TAF D-2271/2013 du 20 août 2013</w:t>
      </w:r>
    </w:p>
    <w:p>
      <w:r>
        <w:t>IT: TAF D-2271/2013 del 20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legte zur Begründung seines Entscheides unter anderem dar, die vom Beschwerdeführer geltend gemachte Furcht vor zukünftiger Verfolgung infolge der schlechten Sicherheitslage in Sri Lanka und als Folge des Verschwindens seines Vaters sei nicht begründet, weil den Akten keine Hinweise zu entnehmen seien, welche darauf hindeuten würden, dass er bei seiner Rückkehr ins Heimatland mit erheblicher Wahrscheinlichkeit asylbeachtliche Verfolgungsmassnahmen zu befürchten habe. Insbesondere verfüge er nicht über ein Profil, welches ihn aus heutiger Sicht bei den sri-lankischen Behörden verdächtig erscheinen lasse. So sei er weder Mitglied bei den Liberation Tigers of Tamil Eelam (LTTE) gewesen, noch habe er diese Bewegung in irgendeiner Weise unterstützt. Ferner sei auf die allgemeine Veränderung der Lage in Sri Lanka hinzuweisen, nachdem der Krieg zwischen den LTTE und der sri-lankischen Regierung beendet worden sei und sich das Land nun wieder unter Regierungskontrolle befinde. Die Sicherheitslage habe sich seither deutlich verbessert, auch wenn sie noch nicht befriedigend sei.</w:t>
      </w:r>
    </w:p>
    <w:p>
      <w:r>
        <w:rPr>
          <w:b/>
        </w:rPr>
        <w:t>E. 5.2</w:t>
      </w:r>
    </w:p>
    <w:p>
      <w:r>
        <w:t>Demgegenüber wurde in der Beschwerde dargelegt, die Vorinstanz habe die erlebte Verfolgung des Beschwerdeführers, mithin die Festnahme im März 2007, als nicht glaubhaft betrachtet, weil er seine Vorbringen in wesentlichen Punkten zu wenig konkret, detailliert und differenziert dargelegt habe, weshalb der Eindruck aufkomme, dass das Geschilderte nicht selbst erlebt worden sei. Praxisgemäss seien indessen die Anforderungen an die Glaubhaftmachung kleiner als bei der Beweisführung.</w:t>
      </w:r>
    </w:p>
    <w:p>
      <w:r>
        <w:rPr>
          <w:b/>
        </w:rPr>
        <w:t>E. 5.3</w:t>
      </w:r>
    </w:p>
    <w:p>
      <w:r>
        <w:t>Vorab ist festzuhalten, dass das BFM das Asylgesuch des Beschwerdeführers im Rahmen der Beurteilung des Asylgesuchs seiner Mutter beurteilt hat. Ein separater Entscheid liegt dem Entscheid vom 18. März 2013 nicht vor. Aus dieser Entscheidung lässt sich indessen nicht entnehmen, dass das BFM die Glaubhaftigkeit der Vorbringen geprüft hat; vielmehr hat es diese Prüfung unter Hinweis auf die fehlende Schutzbedürftigkeit nur vorbehalten. Zudem lässt sich den Angaben des Beschwerdeführers nicht entnehmen, dass er im Jahr 2007 festgenommen worden sein soll. Somit entbehrt die diesbezügliche Argumentation in der Beschwerde jeder Grundlage. Die sinngemäss geltend gemachte Rüge, das BFM habe bei der Beurteilung der Glaubhaftigkeit den gleichen Massstab verwendet wie bei der Beweisführung, vermag folglich einer Prüfung nicht standzuhalten.</w:t>
      </w:r>
    </w:p>
    <w:p>
      <w:r>
        <w:rPr>
          <w:b/>
        </w:rPr>
        <w:t>E. 5.4</w:t>
      </w:r>
    </w:p>
    <w:p>
      <w:r>
        <w:t>Sodann sind die Vorbringen des Beschwerdeführers, er sei zwei Mal von Soldaten geschlagen und immer wieder nach dem Verbleib seines Vaters gefragt worden, aufgrund ihrer Art und Intensität nicht als asylerheblich zu qualifizieren.</w:t>
      </w:r>
    </w:p>
    <w:p>
      <w:r>
        <w:rPr>
          <w:b/>
        </w:rPr>
        <w:t>E. 5.5</w:t>
      </w:r>
    </w:p>
    <w:p>
      <w:r>
        <w:t>Des Weiteren vermögen die Befürchtungen, im Fall einer Rückkehr in sein Heimatland Verfolgungen ausgesetzt zu sein, nicht zu überzeugen. Die Flüchtlingseigenschaft ist im Zeitpunkt des Entscheides zu beurteilen. Für die Beurteilung der Frage, ob im heutigen Zeitpunkt von einer begründeten Furcht vor asylerheblichen Nachteilen auszugehen ist, sind alle relevanten Umstände miteinzubeziehen. Insbesondere muss festgestellt werden, ob und allenfalls wie sich die Situation vor Ort im heutigen Zeitpunkt zeigt und welche Anhaltspunkte dafür oder dagegen sprechen, dass sich eine befürchtete weitere Verfolgung mit beachtlicher Wahrscheinlichkeit und in absehbarer Zeit verwirklichen könnte.</w:t>
      </w:r>
    </w:p>
    <w:p>
      <w:r>
        <w:rPr>
          <w:b/>
        </w:rPr>
        <w:t>E. 5.6</w:t>
      </w:r>
    </w:p>
    <w:p>
      <w:r>
        <w:t>Für den Zeitraum zwischen August 2007 und Mai 2009, als sich der Beschwerdeführer gemäss seinen Aussagen in B._______ aufgehalten haben will, wird abgesehen von Ausweis- beziehungsweise Routinekontrollen, welche den Anforderungen an die Flüchtlingseigenschaft nicht zu genügen vermögen, keine Verfolgung geltend gemacht. Seit dem Ende des Bürgerkriegs in Sri Lanka im Mai 2009 hat sich die Situation im ganzen Land beruhigt und die Sicherheitslage wesentlich verbessert (vgl. BVGE 2011/24 E. 7), auch wenn nach wie vor ein grosses Verbesserungspotenzial vorliegt. In Bezug auf die Zugehörigkeit zu einer Risikogruppe ist festzuhalten, dass der Beschwerdeführer aus heutiger Sicht nicht zu einer der in der Praxis entwickelten Risikogruppe gezählt werden kann. Gestützt auf seine Aussagen steht er nicht in Verbindung mit den LTTE, war nicht im Bereich der Medien oder in einer Nichtregierungsorganisation tätig und ist auch kein politisch Oppositioneller, da sich aus seinen Aussagen keine darauf hinweisenden Aussagen entnehmen lassen. Auch ergibt sich aus seinen Aussagen nicht, dass er Opfer oder Zeuge einer Menschenrechtsverletzung geworden ist. Gestützt auf die Praxis hat er zudem als Rückkehrer aus der Schweiz nicht mit asylerheblichen Nachteilen zu rechnen, zumal sich die im Grundsatzurteil BVGE 2011/24 festgehaltenen Begleitumstände in seinem Fall nicht aus den Akten ergeben (vgl. E. 8. des erwähnten Urteils).</w:t>
      </w:r>
    </w:p>
    <w:p>
      <w:r>
        <w:rPr>
          <w:b/>
        </w:rPr>
        <w:t>E. 5.7</w:t>
      </w:r>
    </w:p>
    <w:p>
      <w:r>
        <w:t>Zusammenfassend ist festzuhalten, dass der Beschwerdeführer nicht glaubhaft machen oder belegen konnte, er sei in seinem Heimatland aus asylrechtlich relevanten Gründen ernsthaften Nachteilen ausgesetzt. Unter diesen Umständen ist seine Furcht vor einer Rückkehr in sein Heimatland als flüchtlingsrechtlich nicht als begründet zu betrachten. Allein allfällige Befragungen bei der Einreise weisen keine flüchtlingsrechtlich relevante Gefährdung auf.</w:t>
      </w:r>
    </w:p>
    <w:p>
      <w:r>
        <w:rPr>
          <w:b/>
        </w:rPr>
        <w:t>E. 5.8</w:t>
      </w:r>
    </w:p>
    <w:p>
      <w:r>
        <w:t>Aufgrund der vorstehenden Erwägungen erübrigt es sich, auf die weiteren Ausführungen in der Beschwerde sowie auf die Beilagen einzugehen, weil sie am Ergebnis nichts ändern können. Unter Berücksichtigung der gesamten Umstände folgt, dass der Beschwerdeführer keine Gründe nach Art. 3 AsylG nachweisen oder glaubhaft machen konnte. Das BFM hat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indessen gestützt auf die vorangehenden Erwägungen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Mit BVGE 2011/24 hat das Bundesverwaltungsgericht die in BVGE 2008/2 publizierte Wegweisungsvollzugspraxis teilweise abgeändert. Im Distrikt Jaffna - aus welchem der Beschwerdeführer stammt und wo auch seine Verwandten leben - hat sich die Sicherheits- und Versorgungslage seit dem Kriegsende deutlich verbessert. Die Militärpräsenz hat abgenommen, ist aber nach wie vor auf praktisch jeder Strasse sichtbar. Gleichzeitig haben die Polizei- und Zivilbehörden ihre Funktionen und Tätigkeiten wieder aufgenommen, so dass keine Situation allgemeiner Gewalt mehr herrscht. Die politische Lage ist ebenfalls nicht dermassen angespannt, dass eine Rückkehr in dieses Gebiet als generell unzumutbar eingestuft werden muss. Angesichts der im humanitären und wirtschaftlichen Bereich nach wie vor fragilen Lage drängt sich aber beim Wegweisungsvollzug in dieses Gebiet eine sorgfältige, zurückhaltende Beurteilung der individuellen Zumutbarkeitskriterien auf, bei der auch das zeitliche Element (Ausreise vor oder nach dem Ende des Bürgerkrieges im Mai 2009) gebührend zu berücksichtigen ist (vgl. BVGE 2011/24 E. 13.2.1).</w:t>
      </w:r>
    </w:p>
    <w:p>
      <w:r>
        <w:rPr>
          <w:b/>
        </w:rPr>
        <w:t>E. 7.4.2</w:t>
      </w:r>
    </w:p>
    <w:p>
      <w:r>
        <w:t>Der Beschwerdeführer stammt gemäss eigenen Angaben aus B._______, wo er teilweise lebte und polizeilich registriert war. Er habe aber zwischen 2003 und 2007 auch in D._______ gewohnt. Gemäss seinen Aussagen leben im Heimatland keine Verwandten mehr. Diese befänden sich im Ausland. Indessen ist aufgrund der langen Dauer, während welcher er sich in B._______ aufgehalten hat, von einem bestehenden Beziehungsnetz im weiteren Sinn und einer gesicherten Wohnsituation an diesem Ort auszugehen. Zudem wird der Beschwerdeführer bei seiner Rückkehr nach Sri Lanka nicht auf sich allein gestellt sein, da seine Mutter und seine Schwester gleichzeitig die Schweiz zu verlassen haben (...). Ferner ist es den im Ausland lebenden Verwandten zuzumuten, dem Beschwerdeführer aus dem Ausland beizustehen, zumal sie auch bereit waren, die Reise in die Schweiz zu organisieren und zu bezahlen. Wie das BFM ausserdem zutreffend festhielt, hat der Beschwerdeführer den grössten Teil seines Lebens in seinem Heimatland verbracht, womit von einer Reintegration auszugehen ist. Diese Tatsachen zeugen davon, dass es ihm auch in der heutigen Situation möglich sein wird, sich im Heimatland wieder zurecht zu finden. Der Wegweisungsvollzug des Beschwerdeführers erweist sich somit nicht als unzumutbar.</w:t>
      </w:r>
    </w:p>
    <w:p>
      <w:r>
        <w:rPr>
          <w:b/>
        </w:rPr>
        <w:t>E. 7.5</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7.6</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Bei diesem Ausgang des Verfahrens ist das Gesuch um Gewährung der unentgeltlichen Rechtspflege abzuweisen. Die Kosten des Verfahrens sind dem Beschwerdeführer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