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D-2262/2009 vom 8. Februar 2010</w:t>
      </w:r>
    </w:p>
    <w:p>
      <w:r>
        <w:t>Bundesverwaltungsgericht, 2010-02-08, DE</w:t>
      </w:r>
    </w:p>
    <w:p>
      <w:r>
        <w:rPr>
          <w:b/>
        </w:rPr>
        <w:t xml:space="preserve">Quelle: </w:t>
      </w:r>
      <w:r>
        <w:t>https://mcp.opencaselaw.ch/entscheid/bvger_D-2262_2009</w:t>
      </w:r>
    </w:p>
    <w:p>
      <w:r>
        <w:t>FR: TAF D-2262/2009 du 8 février 2010</w:t>
      </w:r>
    </w:p>
    <w:p>
      <w:r>
        <w:t>IT: TAF D-2262/2009 del 8 febbraio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Vorliegend führte die Schweizer Botschaft in Colombo am 27. März 2009 eine persönliche Befragung der Beschwerdeführerin gemäss Art. 10 Abs. 1 AsylV 1 durch.</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EMARK 1997 Nr. 15 E. 2.e.-g. S. 131 ff., welcher angesichts bloss redaktioneller Änderungen bei der letzten Totalrevision des Asylgesetzes nach wie vor Gültigkeit hat).</w:t>
      </w:r>
    </w:p>
    <w:p>
      <w:r>
        <w:rPr>
          <w:b/>
        </w:rPr>
        <w:t>E. 5.1</w:t>
      </w:r>
    </w:p>
    <w:p>
      <w:r>
        <w:t>Die Vorbringen in der Rechtsmitteleingabe vom 19. März 2009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Beschwerdeführerin vermögen jedoch die substanziierten und nachvollziehbaren Erwägungen des BFM nicht umzustossen. So machte die Beschwerdeführerin erstmals auf Beschwerdeebene geltend, sie sei auch nach ihrer Rückkehr nach C._______ im November 2007 telefonisch belästigt worden. Demgegenüber bekräftigte sie bei der Befragung vom 25. Januar 2009, dass sie nach ihrer Rückkehr nach C._______ im November 2007 nicht mehr behelligt worden sei (vgl. A14/ S. 13). Diese widersprüchlichen Angaben in einem wesentlichen Punkt sind geeignet, die Glaubhaftigkeit der geltend gemachten Verfolgung zu verneinen. Die Beschwerdeführerin ist auf ihrer unterschriftlich bestätigen Aussage zu behaften. Vor diesem Hintergrund sind auch die geltend gemachten Behelligungen nach ihrer Rückkehr aus Colombo im Januar 2009 zu bezweifeln. Für das Bundesverwaltungsgericht besteht somit nach Überprüfung der Akten keine Veranlassung, die Erwägungen des Bundesamtes zu beanstanden. Um Wiederholungen zu vermeiden, kann daher auf die zutreffenden Ausführungen in der angefochtenen Verfügung verwiesen werden. Nach dem Gesagten erfüllt die Beschwerdeführerin die Flüchtlingseigenschaft gemäss Art. 3 AsylG nicht.</w:t>
      </w:r>
    </w:p>
    <w:p>
      <w:r>
        <w:rPr>
          <w:b/>
        </w:rPr>
        <w:t>E. 6</w:t>
      </w:r>
    </w:p>
    <w:p>
      <w:r>
        <w:t>Insgesamt vermitteln die Vorbringen der Beschwerdeführerin zu ihren Asylgründen kein in sich stimmiges Bild und vermögen den Anforderungen an die Glaubhaftigkeit gemäss Art. 7 AsylG nicht zu genügen. Es ist ihr nicht gelungen, eine Verfolgung im Sinne von Art. 3 AsylG nachzuweisen oder zumindest glaubhaft zu machen. Die Schutzbedürftigkeit der Beschwerdeführerin im Sinne von Art. 20. i.V.m Art. 3 AsylG ist mithin als nicht gegeben zu qualifizieren und es liegen auch keine anderen Gründe vor, welche die Erteilung einer Einreisebewilligung indizieren würden, zumal nach der militärischen Niederlage der LTTE die allgemeine Lage in Sri Lanka sich entspannt hat.</w:t>
      </w:r>
    </w:p>
    <w:p>
      <w:r>
        <w:rPr>
          <w:b/>
        </w:rPr>
        <w:t>E. 7</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8</w:t>
      </w:r>
    </w:p>
    <w:p>
      <w:r>
        <w:t>Bei diesem Ausgang des Verfahrens wären dessen Kosten grundsätzlich der Beschwerdeführerin aufzuerlegen (Art. 63 Abs. 1).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