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D-2251/2017 vom 16. Januar 2020</w:t>
      </w:r>
    </w:p>
    <w:p>
      <w:r>
        <w:t>Bundesverwaltungsgericht, 2020-01-16, DE</w:t>
      </w:r>
    </w:p>
    <w:p>
      <w:r>
        <w:rPr>
          <w:b/>
        </w:rPr>
        <w:t xml:space="preserve">Quelle: </w:t>
      </w:r>
      <w:r>
        <w:t>https://mcp.opencaselaw.ch/entscheid/bvger_D-2251_2017</w:t>
      </w:r>
    </w:p>
    <w:p>
      <w:r>
        <w:t>FR: TAF D-2251/2017 du 16 janvier 2020</w:t>
      </w:r>
    </w:p>
    <w:p>
      <w:r>
        <w:t>IT: TAF D-2251/2017 del 16 gennaio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1.4</w:t>
      </w:r>
    </w:p>
    <w:p>
      <w:r>
        <w:t>Die Beschwerde erweist sich als offensichtlich unbegründet und ist im Verfahren einzelrichterlicher Zuständigkeit mit Zustimmung eines zweiten Richters beziehungsweise einer zweiten Richterin (Art. 111 Bst. e AsylG) und mit summarischer Begründung zu behandeln (Art. 111a Abs. 2 AsylG). Die Tatsache, dass dem Beschwerdeführer die unentgeltliche Rechtspflege (Art. 65 Abs. 1 VwVG) gewährt wurde, die Beschwerde also im Beschwerdezeitpunkt als nicht aussichtslos zu qualifizieren war, steht einer Behandlung der Beschwerde im Verfahren nach Art. 111 Bst. e AsylG in bestimmten Konstellationen nicht entgegen. Dies ist namentlich dann der Fall, wenn sich die Beschwerde aufgrund neuer Erkenntnisse oder einer geänderten Rechtsauffassung während des Beschwerdeverfahrens als offensichtlich unbegründet erweist (vgl. Urteil des BVGer E-8098/2015 vom 26. April 2016 E. 2.2.2). Zwar decken sich die Begriffe der Aussichtslosigkeit (Art. 65 Abs. 1 VwVG) und der offensichtlichen Unbegründetheit (Art. 111 Bst. e AsylG) materiell weitgehend. Für die Prüfung der offensichtlichen Unbegründetheit (Art. 111 Bst. e AsylG) ist jedoch der Urteilszeitpunkt massgebend, während für die Beurteilung der Aussichtslosigkeit der Beschwerdebegehren (Art. 65 Abs. 1 VwVG) auf den Zeitpunkt der Beschwerdeerhebung abzustellen ist (BGE 133 III 614 E. 5). Insofern ist nicht ausgeschlossen, dass eine als nicht aussichtslos beurteilte Beschwerde, wie dies vorliegend zutrifft, als offensichtlich unbegründet abgewiesen wird.</w:t>
      </w:r>
    </w:p>
    <w:p>
      <w:r>
        <w:rPr>
          <w:b/>
        </w:rPr>
        <w:t>E. 1.5</w:t>
      </w:r>
    </w:p>
    <w:p>
      <w:r>
        <w:t>Gestützt auf Art. 111a Abs. 1 AsylG wurde auf die Durchführung eines Schriftenwechsels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m. Verw.).</w:t>
      </w:r>
    </w:p>
    <w:p>
      <w:r>
        <w:rPr>
          <w:b/>
        </w:rPr>
        <w:t>E. 4.1</w:t>
      </w:r>
    </w:p>
    <w:p>
      <w:r>
        <w:t>Nach Durchsicht der Akten gelangt das Bundesverwaltungsgericht ebenfalls zu Schluss, dass der im Rahmen einer Razzia im Jahr 2006 erfolgte Einzug in den Militärdienst sowie die wenig später erfolgte Desertion und die Suche nach dem Beschwerdeführer, der sich acht Jahre lang einer Festnahme habe entziehen können, als unglaubhaft zu qualifizieren sind.</w:t>
      </w:r>
    </w:p>
    <w:p>
      <w:r>
        <w:rPr>
          <w:b/>
        </w:rPr>
        <w:t>E. 4.1.1</w:t>
      </w:r>
    </w:p>
    <w:p>
      <w:r>
        <w:t>Dabei ist zunächst festzuhalten, dass verschiedene Widersprüche zwischen den Schilderungen des Beschwerdeführers in der BzP und in den Anhörungen, das Kerngeschehen betreffend, auffallen. Die Vorinstanz durfte diese somit berücksichtigen, auch wenn die Angaben der lediglich summarischen Befragung generell nur mit Zurückhaltung heranzuziehen sind (vgl. statt vieler: Urteil des BVGer D-4295/2017 vom 9. Januar 2019 E. 6.1.2 m.w.H, insb. Entscheidungen und Mitteilungen der Schweizerischen Asylrekurskommission [EMARK] 1993 Nr. 3).</w:t>
      </w:r>
    </w:p>
    <w:p>
      <w:r>
        <w:rPr>
          <w:b/>
        </w:rPr>
        <w:t>E. 4.1.2</w:t>
      </w:r>
    </w:p>
    <w:p>
      <w:r>
        <w:t>Dem SEM ist zuzustimmen, dass die Angaben des Beschwerdeführers widersprüchlich sind. Die Erklärungen in der Beschwerde zu den festgestellten Widersprüchen vermögen nicht zu überzeugen. So behauptet er in Bezug auf die unterschiedlichen Ortsangaben, sich lediglich nicht genau ausgedrückt zu haben, es liege ein Missverständnis vor. "G._______" sei der Name des Bezirkes, in welchem das Ausbildungslager liege, "H._______" der eigentliche Bestimmungsort, an den der Beschwerdeführer habe gebracht werden sollen, aber vorher geflohen sei. Und "I._______" sei eine Zwischenstation gewesen, wo der Beschwerdeführer inhaftiert worden sei (vgl. Beschwerde, S. 5). Diese Beschwerdeausführungen sind wenig hilfreich und nicht plausibel, können sie doch nicht erklären, weshalb der Beschwerdeführer in der BzP die dreitägige Haft in I._______ unerwähnt liess und davon sprach, aus H._______, wo er zuletzt stationiert gewesen sei, geflohen zu sein (vgl. act. A4, S. 6). Von einem Bestimmungsort H._______ ist dort nicht die Rede, auch nicht von einer Bezirksangabe (vgl. act. A20, S. 11). Auch die Entgegnungen in der Beschwerde zur Aufenthaltsdauer überzeugen nicht. So wird in der Beschwerde behauptet, die Angabe von zehn Tagen in Bezug auf die Desertion habe sich auf die gesamte Abwesenheitsdauer des Beschwerdeführers von seinem Wohnort bezogen. Es seien von der Razzia bis zur Rückkehr des Beschwerdeführers an seinen Wohnort zehn Tage verstrichen (vgl. Beschwerde, S. 5, 6). Diese Behauptung widerspricht aber der Aussage des Beschwerdeführers in der BzP, er sei zehn Tage nach der Einteilung desertiert (vgl. act. A4, S. 6, 7). Und in der Anhörung sagte er, er sei nach fünf Tagen im Militärlager geflohen (vgl. act. A20, S. 4, 11). Neun Tage später sei er zu Hause angekommen (vgl. act. A20, S. 11). Die Erklärung zu den 10 Tagen als Gesamtabwesenheitszeitraum ab der Razzia ist demnach nicht überzeugend. Auch die Behauptungen in der Beschwerde, der Beschwerdeführer habe den Aufenthalt im Gefängnis vergessen zu erwähnen, da es sich um einen kurzen Aufenthalt gehandelt habe und die Übergänge zwischen Rekrutierungszentrum und Gefängnis fliessend seien, überzeugen nicht. Der Beschwerdeführer soll nämlich gemäss seinen Schilderungen an einem gänzlich anderen Ort als in G._______, in I._______, drei Tage unter schlimmen Verhältnissen im Gefängnis eingesperrt gewesen sein (vgl. act, A20, S. 6, 7). Dass er ein so einschneidendes Ereignis, bei dem er auch seinen späteren Fluchtbegleiter kennengelernt habe (vgl. act. A20, S. 4), in der BzP vergass zu erwähnen, ist schwer vorstellbar. Auch kann es sich kaum um einen fliessenden Übergang der Orte gehandelt haben, da er von I._______ im Militärwagen etwa sieben Stunden ins Militärcamp G._______ gebracht worden sei (vgl. act. A20, S. 7).</w:t>
      </w:r>
    </w:p>
    <w:p>
      <w:r>
        <w:rPr>
          <w:b/>
        </w:rPr>
        <w:t>E. 4.1.3</w:t>
      </w:r>
    </w:p>
    <w:p>
      <w:r>
        <w:t>Dem SEM ist auch darin zuzustimmen, dass der Beschwerdeführer die Suche der Behörden nach ihm nicht substanziiert schildern konnte (vgl. act. A20, S. 7-11). Wenig realistisch erscheint sodann der Umstand, dass er im Jahr 2013, als ihn die Soldaten in seinem Versteck entdeckt hätten, wieder dorthin zurückgekehrt und bis ins Jahr 2014 nicht mehr behelligt worden sei (vgl. act. A20, S. 8).</w:t>
      </w:r>
    </w:p>
    <w:p>
      <w:r>
        <w:rPr>
          <w:b/>
        </w:rPr>
        <w:t>E. 4.1.4</w:t>
      </w:r>
    </w:p>
    <w:p>
      <w:r>
        <w:t>Schliesslich kann der Beschwerdeführer auch in der Beschwerde nicht überzeugend erklären, weshalb er sich als gesuchte Person angesichts des hohen Festnahmerisikos an verschiedene Behörden gewandt haben will, um eine Identitätskarte zu beantragen. Er konnte sich im Rahmen des rechtlichen Gehörs zu den Umständen der Beschaffung der Identitätskarte äussern (vgl. act. A21, A22). Dabei hat er aber nicht, wie in der Beschwerde nachträglich und wenig glaubhaft vorgebracht, angeführt, er habe bei der Identitätskartenbeantragung den verschiedenen Behörden gegenüber zusichern müssen, sich zum Wehrdienst zu melden. Dies wird erst in der Beschwerde behauptet (vgl. act. A22; Beschwerde, S. 6). Es ist schwer vorstellbar, dass eine im Jahr 2006 desertierte und seitdem jahrelang gesuchte militärdienstpflichtige Person einzig wegen Zusicherungen gegenüber den Behörden, sich zum Militärdienst zu melden, nicht festgenommen worden sei und einen Zeitaufschub bis zur nächsten Rekrutierungsrunde erhalten habe (vgl. Beschwerde, S. 6). Angesichts der Suche nach dem Beschwerdeführer wäre zu erwarten gewesen, dass er das Risiko, persönlich bei den Behörden vorstellig zu werden zum Erhalt des Dokumentes, gar nicht erst auf sich nimmt. Auch ist dem SEM Recht zu geben, dass es unwahrscheinlich erscheint, die eritreischen Behörden hätten einer gesuchten Person eine Identitätskarte ausgestellt.</w:t>
      </w:r>
    </w:p>
    <w:p>
      <w:r>
        <w:rPr>
          <w:b/>
        </w:rPr>
        <w:t>E. 4.2</w:t>
      </w:r>
    </w:p>
    <w:p>
      <w:r>
        <w:t>Zusammenfassend ist festzuhalten, dass es dem Beschwerdeführer angesichts zahlreicher Widersprüche, Ungereimtheiten und unsubstantiierter Aussagen nicht gelang, glaubhaft zu machen, er sei zwangsweise im Rahmen einer Razzia rekrutiert worden, desertiert und habe sich acht Jahre lang einer erneuten Festnahme entziehen können. Somit konnte der Beschwerdeführer nicht glaubhaft machen, dass er im Zeitpunkt seiner Ausreise asylrelevante Verfolgung bereits erlebt oder solche zu befürchten hatte.</w:t>
      </w:r>
    </w:p>
    <w:p>
      <w:r>
        <w:rPr>
          <w:b/>
        </w:rPr>
        <w:t>E. 5.1</w:t>
      </w:r>
    </w:p>
    <w:p>
      <w:r>
        <w:t>Es bleibt zu prüfen, ob der Beschwerdeführer wegen seiner Ausreise aus Eritrea bei einer Rückkehr dorthin - mithin wegen subjektiver Nachfluchtgründe - befürchten müsste, ernsthaften Nachteilen im Sinne von Art. 3 AsylG ausgesetzt zu werden.</w:t>
      </w:r>
    </w:p>
    <w:p>
      <w:r>
        <w:rPr>
          <w:b/>
        </w:rPr>
        <w:t>E. 5.2</w:t>
      </w:r>
    </w:p>
    <w:p>
      <w:r>
        <w:t>Mit Referenzurteil D-7898/2015 vom 30. Januar 2017 gelangte das Bundesverwaltungsgericht zum Schluss, dass im eritreischen Kontext die illegale Ausreise allein zur Begründung der Flüchtlingseigenschaft nicht ausreicht. Vielmehr bedarf es hierzu zusätzlicher Anknüpfungspunkte, welche die asylsuchende Person in den Augen der eritreischen Behörden als missliebige Person erscheinen lassen und dadurch zu einer flüchtlingsrechtlich relevanten Verfolgungsgefahr führen könnten.</w:t>
      </w:r>
    </w:p>
    <w:p>
      <w:r>
        <w:rPr>
          <w:b/>
        </w:rPr>
        <w:t>E. 5.3</w:t>
      </w:r>
    </w:p>
    <w:p>
      <w:r>
        <w:t>Das Vorliegen solcher zusätzlicher Faktoren ist im Falle des Beschwerdeführers zu verneinen. Einerseits konnte er - wie oben ausgeführt - die geltend gemachten Vorfluchtgründe nicht glaubhaft machen, andererseits sind bei vorliegender Aktenlage keine anderen Anknüpfungspunkte ersichtlich, welche ihn in den Augen des eritreischen Regimes als missliebige Person erscheinen lassen könnten.</w:t>
      </w:r>
    </w:p>
    <w:p>
      <w:r>
        <w:rPr>
          <w:b/>
        </w:rPr>
        <w:t>E. 5.4</w:t>
      </w:r>
    </w:p>
    <w:p>
      <w:r>
        <w:t>Aus diesen Erwägungen folgt, dass die Vorinstanz die Flüchtlingseigenschaft des Beschwerdeführers - auch im Hinblick auf die illegale Ausreise mangels subjektiver Nachfluchtgründe - zu Recht verneint und sein Asylgesuch abgelehnt hat.</w:t>
      </w:r>
    </w:p>
    <w:p>
      <w:r>
        <w:rPr>
          <w:b/>
        </w:rPr>
        <w:t>E. 5.5</w:t>
      </w:r>
    </w:p>
    <w:p>
      <w:r>
        <w:t>Der Vollständigkeit halber ist darauf hinzuweisen, dass eine allfällige zukünftige Einziehung des Beschwerdeführers in den eritreischen Nationaldienst jedenfalls unter flüchtlingsrechtlichen Gesichtspunkten nicht näher zu thematisieren ist; die Einziehung knüpft nämlich nicht an ein flüchtlingsrechtlich relevantes Motiv an (vgl. Referenzurteil des BVGer D-7898/2015 vom 30. Januar 2017 E. 5.1). Dieser Aspekt ist vielmehr unter dem Gesichtspunkt der Zulässigkeit des Wegweisungsvollzugs zu thematisieren (vgl. nachfolgend).</w:t>
      </w:r>
    </w:p>
    <w:p>
      <w:r>
        <w:rPr>
          <w:b/>
        </w:rPr>
        <w:t>E. 6</w:t>
      </w:r>
    </w:p>
    <w:p>
      <w:r>
        <w:t>Der subsubeventualiter gestellte Beschwerdeantrag auf Rückweisung der Sache an die Vorinstanz zur Neubeurteilung erweist sich nach dem Gesagten als unbegründet und ist entsprechend abzuweisen.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8.2.2</w:t>
      </w:r>
    </w:p>
    <w:p>
      <w:r>
        <w:t>Die vom Beschwerdeführer aufgeworfene Frage der Zulässigkeit des Wegweisungsvollzugs bei anstehender Einziehung in den eritreischen Nationaldienst ist vom Bundesverwaltungsgericht in einem jüngst ergangenen Grundsatzurteil geklärt worden (vgl. BVGE 2018 VI/4 E. 6.1). Das Gericht hat die Zulässigkeit des Wegweisungsvollzugs im genannten Urteil sowohl unter dem Gesichtspunkt des Zwangsarbeitsverbots (Art. 4 Abs. 2 EMRK) als auch unter jenem des Verbots der Folter und der unmenschlichen und erniedrigenden Behandlung (Art. 3 EMRK) geprüft. 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Darüber hinaus stellte das Bundesverwaltungsgericht fest, dass es im eritreischen Nationaldienst - insbesondere in der Grundausbildung und im militärischen Nationaldienst - zu Misshandlungen und sexuellen Übergriffen komme (vgl. zum Ganzen BVGE 2018 VI/4 E. 6.1.5.2). 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entlohnte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derart systematisch stattfänden, dass jede Nationaldienstleistende und jeder Nationaldienstleistende dem ernsthaften Risiko ausgesetzt wäre, selbst solche Übergriffe zu erleiden. Auch insofern sei eine Verletzung von Art. 4 Abs. 2 EMRK zu verneinen (vgl. zum Ganzen BVGE 2018 VI/4 E. 6.1.5.2). Gemäss Praxis des Europäischen Gerichtshofes für Menschenrechte (EGMR) müsste der Beschwerdeführer mit Blick auf Art. 3 EMRK das ernsthafte Risiko ("real risk") nachweisen, dass ihm im Fall einer Rückschiebung Folter oder unmenschliche Behandlung drohen würde (vgl. EGMR [Grosse Kammer], Saadi gegen Italien, Urteil vom 28. Februar 2008, Nr. 37201/06, §§ 124-127 m.w.H.). Im Grundsatzurteil BVGE 2018 VI/4 führte das Bundesverwaltungsgericht diesbezüglich aus, dass keine hinreichenden Belege dafür existieren, dass Misshandlungen und sexuellen Übergriffe im Nationaldienst derart flächendeckend stattfänden, dass jede Dienstleistende und jeder Dienstleistende dem ernsthaften Risiko ausgesetzt wäre, selbst solche Übergriffe zu erleiden. Es besteht daher kein ernsthaftes Risiko einer Verletzung von Art. 3 EMRK im Falle einer Einziehung in den eritreischen Nationaldienst (a.a.O., E. 6.1.6).</w:t>
      </w:r>
    </w:p>
    <w:p>
      <w:r>
        <w:rPr>
          <w:b/>
        </w:rPr>
        <w:t>E. 8.2.3</w:t>
      </w:r>
    </w:p>
    <w:p>
      <w:r>
        <w:t>Weitere Gründe für die Annahme der Unzulässigkeit des Wegweisungsvollzugs ergeben sich weder aus den Akten noch aus der Beschwerdeschrift. Der Wegweisungsvollzug ist folglich als zulässig zu betrachten.</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8.3.2</w:t>
      </w:r>
    </w:p>
    <w:p>
      <w:r>
        <w:t>Der angefochtenen Verfügung ist auch in diesem Punkt im Ergebnis zuzustimmen, zumal keine Hinweise ersichtlich sind, wonach der noch junge Beschwerdeführer ohne aktenkundige gesundheitliche Beschwerden, der mit seiner Ehefrau und dem gemeinsamen Kind sowie den Eltern und Geschwistern über ein grosses familiäres Beziehungsnetz im Heimatland verfügt, zu welchem er in Kontakt steht (vgl. act. A4, S. 4, 5; act. A20, S. 3), bei einer Rückkehr in eine existenzielle Notlage geraten könnte. Auch wenn die Familie von den Feldern vertrieben sein sollte, so ist doch angesichts dessen, dass sie bisher ihr Auskommen aus der Landwirtschaft mit eigenen Tieren erwirtschaften konnte und die zahlreichen Tiere und landwirtschaftliche Geräte nach der Beschlagnahme durch die Behörden wieder zurückerlangen konnte (vgl. act. A20, S. 7, 9,12), davon auszugehen, dass sie weiterhin in der Landwirtschaft ein Auskommen haben wird. Der Vollzug der Wegweisung erweist sich somit auch als zumutbar. Auch der Umstand eines etwaigen Einzugs in den Nationaldienst vermag keine Unzumutbarkeit zu begründen (vgl. BVGE 2018 VI/4 E. 6.2.4).</w:t>
      </w:r>
    </w:p>
    <w:p>
      <w:r>
        <w:rPr>
          <w:b/>
        </w:rPr>
        <w:t>E. 8.4</w:t>
      </w:r>
    </w:p>
    <w:p>
      <w:r>
        <w:t>Schliesslich ist darauf hinzuweisen, dass eine zwangsweise Rückführung nach Eritrea zwar derzeit generell nicht möglich ist. Die Möglichkeit der freiwilligen Rückkehr steht jedoch praxisgemäss der Feststellung der Unmöglichkeit des Wegweisungsvollzugs im Sinne von Art. 83 Abs. 2 AIG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deshalb abzuweisen.</w:t>
      </w:r>
    </w:p>
    <w:p>
      <w:r>
        <w:rPr>
          <w:b/>
        </w:rPr>
        <w:t>E. 10.1</w:t>
      </w:r>
    </w:p>
    <w:p>
      <w:r>
        <w:t>Bei diesem Ausgang des Verfahrens wären die Kosten dem Beschwerdeführer aufzuerlegen (Art. 63 Abs. 1 VwVG). Da ihm jedoch mit Verfügung vom 25. April 2017 die unentgeltliche Prozessführung gewährt wurde und seither keine Veränderung der finanziellen Lage ersichtlich ist, ist auf die Erhebung von Verfahrenskosten zu verzichten.</w:t>
      </w:r>
    </w:p>
    <w:p>
      <w:r>
        <w:rPr>
          <w:b/>
        </w:rPr>
        <w:t>E. 10.2</w:t>
      </w:r>
    </w:p>
    <w:p>
      <w:r>
        <w:t>Ebenfalls mit Verfügung vom 25. April 2017 wurde das Gesuch um amtliche Verbeiständung gutgeheissen (aArt. 110a Abs. 1 AsylG) und der Rechtsvertreter des Beschwerdeführers als amtlicher Rechtsbeistand eingesetzt. Folglich ist diesem ein amtliches Honorar für seine notwendigen Aufwendungen im Beschwerdeverfahren auszurichten. Der amtliche Rechtsbeistand hat keine Kostennote eingereicht. Aufgrund der Akten ist es jedoch ohne Weiteres möglich, den entstandenen Aufwand zu schätzen, so dass darauf verzichtet werden kann, den amtlichen Rechtsbeistand zur Nachreichung einer Kostennote aufzufordern. Dem amtlichen Rechtsbeistand wird deshalb zu Lasten der Gerichtskasse und unter Berücksichtigung des mit Zwischenverfügung vom 25. April 2017 mitgeteilten Stundenansatzes ein amtliches Honorar von Fr. 600.- (inkl. Auslagen)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