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D-2241/2019 vom 19. September 2019</w:t>
      </w:r>
    </w:p>
    <w:p>
      <w:r>
        <w:t>Bundesverwaltungsgericht, 2019-09-19, FR</w:t>
      </w:r>
    </w:p>
    <w:p>
      <w:r>
        <w:rPr>
          <w:b/>
        </w:rPr>
        <w:t xml:space="preserve">Quelle: </w:t>
      </w:r>
      <w:r>
        <w:t>https://mcp.opencaselaw.ch/entscheid/bvger_D-2241_2019</w:t>
      </w:r>
    </w:p>
    <w:p>
      <w:r>
        <w:t>FR: TAF D-2241/2019 du 19 septembre 2019</w:t>
      </w:r>
    </w:p>
    <w:p>
      <w:r>
        <w:t>IT: TAF D-2241/2019 del 19 settembre 2019</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L'intéressé a qualité pour recourir (art. 48 al. 1 PA, applicable par renvoi de l'art. 37 LTAF). Présenté dans la forme (art. 52 al. 1 PA) et dans le délai (anc. art. 108 al. 1 LAsi) prescrits par la loi, le recours est recevable.</w:t>
      </w:r>
    </w:p>
    <w:p>
      <w:r>
        <w:rPr>
          <w:b/>
        </w:rPr>
        <w:t>E. 2.1</w:t>
      </w:r>
    </w:p>
    <w:p>
      <w:r>
        <w:t>A._______ a notamment allégué, au cours de ses auditions, avoir été incarcéré et torturé à deux reprises, durant son service militaire, en raison de la participation de sa mère et de sa soeur, en décembre 2009, à une manifestation de contestation suite à l'élection présidentielle du mois de juin - après laquelle elles ont quitté le pays. Il aurait, de ce fait, fini par déserter à la fin du mois de juillet 2010. A l'occasion de l'audition sur ses motifs d'asile, il a également exposé avoir reçu une convocation en vue de comparaître au tribunal et avoir été condamné en 2010 ou 2011, par contumace, à environ dix ans de prison ainsi qu'à des coups de fouet. Pour ces motifs notamment, il aurait fui l'Iran, en date du 21 mai 2015.</w:t>
      </w:r>
    </w:p>
    <w:p>
      <w:r>
        <w:rPr>
          <w:b/>
        </w:rPr>
        <w:t>E. 2.2</w:t>
      </w:r>
    </w:p>
    <w:p>
      <w:r>
        <w:t>Dans sa décision du 9 avril 2019, le SEM a retenu que les préjudices dont le prénommé aurait été victime à l'armée, soit deux détentions accompagnées de maltraitances, n'étaient pas déterminants en matière d'asile, dans la mesure où le lien de causalité temporelle entre leur survenance et le départ du pays, environ cinq ans plus tard, était rompu. Pour le surplus, l'autorité intimée a conclu que les propos de l'intéressé ne satisfaisaient pas aux exigences de l'art. 7 LAsi, reprochant en particulier au recourant de n'avoir « produit aucun document judiciaire (convocations, jugement) » (cf. décision du 9 avril 2019, p. 5).</w:t>
      </w:r>
    </w:p>
    <w:p>
      <w:r>
        <w:rPr>
          <w:b/>
        </w:rPr>
        <w:t>E. 2.3</w:t>
      </w:r>
    </w:p>
    <w:p>
      <w:r>
        <w:t>A l'appui de son recours du 10 mai 2019, A._______ a produit une notification d'assignation devant le tribunal de la révolution islamique de B._______ et le jugement du (...) 2010 prononcé par le même tribunal, sous forme de copies. Sur invitation du Tribunal de céans, le prénommé lui a transmis les originaux desdits documents.</w:t>
      </w:r>
    </w:p>
    <w:p>
      <w:r>
        <w:rPr>
          <w:b/>
        </w:rPr>
        <w:t>E. 2.4</w:t>
      </w:r>
    </w:p>
    <w:p>
      <w:r>
        <w:t>Dans le cadre de sa réponse, le Secrétariat d'Etat a estimé que « les deux documents produits ne [pouvaient] être que des faux ». En outre, il a relevé qu'en principe, « aucune copie d'un jugement rendu par un tribunal révolutionnaire [n'était] remise à l'accusé ou à son mandataire » et que des documents authentiques pouvaient être aisément achetés en Iran (cf. réponse du 12 juin 2019, p. 1).</w:t>
      </w:r>
    </w:p>
    <w:p>
      <w:r>
        <w:rPr>
          <w:b/>
        </w:rPr>
        <w:t>E. 2.5</w:t>
      </w:r>
    </w:p>
    <w:p>
      <w:r>
        <w:t>Par ses observations du 28 juin 2019, le recourant a, en substance, contesté l'analyse du SEM et persisté dans ses conclusions.</w:t>
      </w:r>
    </w:p>
    <w:p>
      <w:r>
        <w:rPr>
          <w:b/>
        </w:rPr>
        <w:t>E. 3.1</w:t>
      </w:r>
    </w:p>
    <w:p>
      <w:r>
        <w:t>Aux termes de l'art. 32 al. 1 PA, l'autorité apprécie, avant de prendre la décision, tous les allégués importants qu'une partie a avancés en temps utile. Cette disposition instaure ainsi, d'une part, un devoir d'appréciation pour l'autorité. D'autre part, elle donne, comme corollaire, le droit à la partie de voir ses allégués être pris en compte par l'autorité (cf. arrêt du Tribunal B-2705/2010 du 28 septembre 2010 consid. 3.4 et réf. cit.). L'autorité doit ainsi examiner de manière consciencieuse et sérieuse les allégués des parties. Cela représente un aspect essentiel du droit d'être entendu, ancré à l'art. 29 al. 2 Cst. et concrétisé par les art. 29 ss PA, dans la mesure où celui-ci ne peut être effectif que si l'autorité tient réellement compte de ce qui lui est présenté (cf. Bernhard Waldmann/Jürg Bickel, in : Waldmann/Weissenberger (éd.), Praxiskommentar VwVG, 2e éd. 2016, art. 32 no 18 p. 731 et jurisp. cit ; arrêt du Tribunal E-2479/2018 du 31 mai 2018 consid. 6.1).</w:t>
      </w:r>
    </w:p>
    <w:p>
      <w:r>
        <w:rPr>
          <w:b/>
        </w:rPr>
        <w:t>E. 3.2</w:t>
      </w:r>
    </w:p>
    <w:p>
      <w:r>
        <w:t>En l'occurrence, en vue d'étayer la vraisemblance de ses propos, l'intéressé a produit une citation à comparaître devant le tribunal de la révolution islamique de B._______ et le jugement par lequel il a été condamné, par contumace, par ledit tribunal, tous deux apparemment en original. Force est de constater que ces documents sont, au vu de leur contenu, de nature à confirmer la crainte de persécution future, en cas de retour en Iran, alléguée par A._______. Invité expressément par le Tribunal à se déterminer « sur les arguments du recours, en particulier au regard des nouveaux moyens de preuve produits » (cf. ordonnance du 3 juin 2019, ch. 2), le SEM s'est cependant limité, par le biais d'une réponse très brève, à conclure qu'il s'agissait de documents falsifiés. Il ressort pourtant du dossier qu'il n'a pas relevé de caractéristique évidente de falsification et qu'il s'est dispensé de procéder à une (véritable) analyse d'authenticité de ces deux moyens de preuve, dont les originaux ont pourtant été produits par courrier du 28 mai 2019. Ainsi, il a fondé son argumentation uniquement sur la base de conclusions générales issues de rapports internationaux et sur le fait que les allégations du recourant relatives à ses motifs de fuite étaient « clairement invraisemblables » (cf. réponse du 12 juin 2019, p. 1). Une telle manière de faire ne saurait être admise, ce d'autant moins que l'autorité intimée avait précisément reproché au prénommé, dans sa décision, de n'avoir fourni aucun élément de preuve concret à l'appui de ses propos. En effet, il est abscons de conclure que les allégations de l'intéressé ne répondent pas aux exigences de l'art. 7 LAsi en raison de l'absence de preuve tangible, puis de faire fi des moyens de preuve produits en original au vu, précisément, de la prétendue invraisemblance générale du récit de celui-ci. Partant, le Tribunal ne peut que souscrire à l'argumentation développée par le recourant dans ses observations du 28 juin 2019.</w:t>
      </w:r>
    </w:p>
    <w:p>
      <w:r>
        <w:rPr>
          <w:b/>
        </w:rPr>
        <w:t>E. 3.3</w:t>
      </w:r>
    </w:p>
    <w:p>
      <w:r>
        <w:t>Dans ces conditions, le SEM ne pouvait se dispenser de procéder en particulier à un examen circonstancié des documents précités afin de clarifier leur valeur probante.</w:t>
      </w:r>
    </w:p>
    <w:p>
      <w:r>
        <w:rPr>
          <w:b/>
        </w:rPr>
        <w:t>E. 4.1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4.2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5.1</w:t>
      </w:r>
    </w:p>
    <w:p>
      <w:r>
        <w:t>Il appartient dès lors au SEM et non au Tribunal de mener à chef les compléments d'instruction indispensables qui s'imposent en l'espèce au vu des moyens de preuve nouvellement produits, dans le cadre de la procédure de recours.</w:t>
      </w:r>
    </w:p>
    <w:p>
      <w:r>
        <w:rPr>
          <w:b/>
        </w:rPr>
        <w:t>E. 5.2</w:t>
      </w:r>
    </w:p>
    <w:p>
      <w:r>
        <w:t>Au vu de ce qui précède, il y a lieu d'admettre le présent recours, d'annuler la décision du SEM du 9 avril 2019, pour violation du droit fédéral (art. 106 al. 1 let. a LAsi), et de lui renvoyer la cause pour complément d'instruction, au sens des considérants, non exhaustifs, et pour nouvelle décision (art. 61 al. 1 PA). Il incombera en particulier au SEM de procéder aux mesures d'instruction nécessaires en vue de vérifier l'authenticité de la notification d'assignation émise par le tribunal de la révolution islamique de B._______ et du jugement prononcé par ce même tribunal, le cas échéant par le biais d'une investigation diligentée par le truchement de l'Ambassade de Suisse à Téhéran. Il pourra ensuite statuer à nouveau, en toute connaissance de cause et en tenant compte de l'éventuelle incidence des documents précités, sur la crainte de persécution future alléguée par l'intéressé, s'il était amené à retourner dans son pays d'origine.</w:t>
      </w:r>
    </w:p>
    <w:p>
      <w:r>
        <w:rPr>
          <w:b/>
        </w:rPr>
        <w:t>E. 5.3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6.1</w:t>
      </w:r>
    </w:p>
    <w:p>
      <w:r>
        <w:t>Au vu de l'issue de la cause, et indépendamment de l'octroi de l'assistance judiciaire totale à l'intéressé par décision incidente du 23 mai 2019, il n'est pas perçu de frais de procédure (art. 63 al. 1 et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l'occurrence, l'octroi des dépens primant sur l'assistance judiciaire totale, il appartient, en l'absence de décompte de prestations tel qu'en l'espèce, au Tribunal de fixer le montant de cette indemnité (art. 14 al. 2 du règlement du 21 février 2008 concernant les frais, dépens et indemnités fixés par le Tribunal administratif fédéral [FITAF, RS 173.320.2]). L'indemnité allouée à titre de dépens est ainsi arrêtée d'office à un montant de 1'800 francs, pour l'activité indispensable que le mandataire du recourant a déployée dans la présente procédure (art. 8 à 11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