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D-2238/2008 vom 12. Januar 2011</w:t>
      </w:r>
    </w:p>
    <w:p>
      <w:r>
        <w:t>Bundesverwaltungsgericht, 2011-01-12, DE</w:t>
      </w:r>
    </w:p>
    <w:p>
      <w:r>
        <w:rPr>
          <w:b/>
        </w:rPr>
        <w:t xml:space="preserve">Quelle: </w:t>
      </w:r>
      <w:r>
        <w:t>https://mcp.opencaselaw.ch/entscheid/bvger_D-2238_2008</w:t>
      </w:r>
    </w:p>
    <w:p>
      <w:r>
        <w:t>FR: TAF D-2238/2008 du 12 janvier 2011</w:t>
      </w:r>
    </w:p>
    <w:p>
      <w:r>
        <w:t>IT: TAF D-2238/2008 del 12 gennaio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endgültig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112 AuG und Art. 48 Abs. 1, Art. 50 und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1.4</w:t>
      </w:r>
    </w:p>
    <w:p>
      <w:r>
        <w:t>Gestützt auf Art. 57 Abs. 1 VwVG (e contrario) wurde vorliegend auf einen Schriftenwechsel verzichtet, da sich die Beschwerde, wie in den nach­folgenden Erwägungen darzulegen ist, als aussichtslos und damit als von vornherein unbegründet im Sinne der erwähnten Bestimmung erweist.</w:t>
      </w:r>
    </w:p>
    <w:p>
      <w:r>
        <w:rPr>
          <w:b/>
        </w:rPr>
        <w:t>E. 2.1</w:t>
      </w:r>
    </w:p>
    <w:p>
      <w:r>
        <w:t>Der Gegenstand des vorliegenden Beschwerdeverfahrens ist auf die Frage beschränkt, ob die Vorinstanz die am 16. Februar 2006 verfügte vorläufige Aufnahme des Beschwerdeführers mit Verfügung vom 5. März 2008 zu Recht aufgehoben hat. Auf den in der Beschwerde gestellten Antrag auf Gewährung von Asyl ist deshalb nicht einzutreten.</w:t>
      </w:r>
    </w:p>
    <w:p>
      <w:r>
        <w:rPr>
          <w:b/>
        </w:rPr>
        <w:t>E. 2.2</w:t>
      </w:r>
    </w:p>
    <w:p>
      <w:r>
        <w:t>Die Voraussetzungen für die Aufhebung der vorläufigen Aufnahme werden seit dem 1. Januar 2008 in Art. 84 Abs. 2 AuG umschrieben. Vor dem 1. Januar 2008 wurde die Aufhebung der vorläufigen Auf­nahme durch Art. 14b Abs. 2 des Bundesgesetzes vom 26. März 1931 über Aufenthalt und Niederlassung der Ausländer (ANAG, BS 1 121) geregelt, welches zeitgleich mit dem Inkrafttreten des AuG aufgehoben wurde (vgl. Art. 125 AuG i.V.m. Ziff. I Anhang zum AuG). Inhaltlich hat sich an den Voraussetzungen für die Aufhebung der vorläufigen Auf­nahme durch die Gesetzesände­rung nichts geändert.</w:t>
      </w:r>
    </w:p>
    <w:p>
      <w:r>
        <w:rPr>
          <w:b/>
        </w:rPr>
        <w:t>E. 3.1</w:t>
      </w:r>
    </w:p>
    <w:p>
      <w:r>
        <w:t>Die Vorinstanz führte zur Begründung ihres Aufhebungsent­scheides im Wesentlichen an, mit der Verfügung vom 16. Februar 2006 sei festgestellt wor­den, dass der Beschwerdefüh­rer die Flüchtlingseigenschaft nicht erfül­le. Diese Verfügung sei, soweit sie die Verneinung der Flüchtlingsei­genschaft und die Verweigerung des Asyls betreffe, in Rechtskraft erwach­sen. Da er die Flüchtlingseigenschaft nicht erfülle, könne der Grundsatz der Nicht­rückschiebung nicht angewendet werden. Ferner würden sich aus den Akten keine Anhaltspunkte da­für ergeben, dass ihm bei einer Rückkehr in den Heimatstaat mit be­achtlicher Wahrscheinlichkeit eine durch Art. 3 der Konvention vom 4. November 1950 zum Schutze der Menschenrechte und Grundfrei­heiten (EMRK, SR 0.101) verbotene Strafe oder Behandlung drohe. Die als stabil zu erachtende Sicherheitslage in den drei nordiraki­schen Provinzen Dohuk, Erbil und Sulaymanyia lasse den Wegwei­sungsvollzug zum heutigen Zeitpunkt grundsätzlich nicht als unzulässig oder als unzumutbar erscheinen. Diese Einschätzung werde auch von anderen europäischen Staaten geteilt und es sei festzustellen, dass sich auch das UNHCR nicht grundsätzlich gegen den Vollzug von Wegweisungen in die genannten Provinzen stelle. An dieser Einschätzung vermöge auch der vom Beschwerdeführer erwähnte Bericht der Schweizerischen Flüchtlingshilfe (SFH) nichts zu ändern, zumal deren La­gebeurteilung das BFM in keiner Weise zu binden vermöge. Zudem wür­den vorlie­gend auch keine individuellen Gründe gegen die Zumutbarkeit des Wegweisungsvollzugs sprechen. Der Beschwerdeführer habe bis zu seiner Ausreise in der Provinz C._______ gelebt und verfüge dort eigenen Angaben zufolge auch heute noch über ein familiäres Beziehungsnetz. Dem Einwand in seiner Stellungnahme, wonach er sich dort keine Existenz aufbauen und auch nicht mit der Unterstützung seiner Familienangehörigen rechnen könne, sei festzustellen, dass es sich beim Beschwerdeführer um einen alleinstehenden, jungen und gemäss Aktenlage auch gesunden Mann ohne familiäre Verpflichtungen handle. Diese Voraussetzungen sollten es ihm ermöglichen, auch wenn er keine eigentliche Berufsausbildung ausweisen könne, aus eigener Kraft eine wirtschaftliche Existenzgrundlage im Heimatland aufbauen zu können. Ihm stehe es zudem offen, vom Angebot der Rückkehrhilfe Gebrauch zu machen, welche ihm die Reintegration in seinem Heimatland erleichtern dürfte. Der Beschwerdeführer sei erst im Alter von (...) Jahren in die Schweiz ge­reist und habe die prä­genden Jahre in seinem Heimatland verbracht. Mithin sei er mit Sprache, Kultur, Lebens- und Arbeitsweise in seiner Herkunftsregion bestens vertraut. Auch wenn er mittlerweile über (...) Jahre in der Schweiz wohnhaft sei und geltend mache, er sei hier gut integriert, sei nicht von einer über das übliche Mass hinausgehenden Verwurzelung auszugehen. Sodann sei der Wegweisungsvollzug auch als möglich zu erachten, zumal einerseits Flugverbindungen von Europa in den Nordirak bestehen würden und es dem Beschwerdeführer obliege, sich bei der zuständigen Vertretung seines Heimatlandes die für eine Rückkehr notwendigen Reisedokumente zu beschaffen.</w:t>
      </w:r>
    </w:p>
    <w:p>
      <w:r>
        <w:rPr>
          <w:b/>
        </w:rPr>
        <w:t>E. 3.2</w:t>
      </w:r>
    </w:p>
    <w:p>
      <w:r>
        <w:t>In seiner Rechtsmitteleingabe zeigt sich der Beschwerdeführer mit der Lageanalyse des BFM betreffend die drei nordirakischen Provinzen nicht einverstanden und verweist diesbezüglich auf Offensivaktionen der türkischen Armee gegen die kurdische Arbeiter­partei (PKK), die sich vor allem auf das grenznahe irakische Gebiet konzentriert hätten, wo sein Wohnort gewesen sei und wo sich seine Familie nach wie vor aufhalte. Solche Angriffe würden andauern und seine Familienangehörigen seien diesen unmittelbar ausgesetzt. Ferner verweist der Beschwerdeführer auf die weiterhin unsichere Lage in den drei nordirakischen Pro­vinzen Dohuk, Erbil und Sulaymaniya. Im Dezember 2006 hätten sunnitische Extremisten in Mosul das Islamische Emirat Irak ausgerufen. Seither habe der Terror in Mosul signifikant zugenommen. Die Bewohner des Nordiraks seien seit Jahren immer wieder willkürlichen Bombardierungen ausgesetzt, bei welchen zahlreiche Zivilisten ihr Leben und andere ihre Existenz verloren hätten. Da es keine inländische Fluchtalternative gebe, würden die vielen Flüchtlinge die Infrastruktur der weniger bedrohten Gebiete belasten, bis es zu Zusammenbrüchen in der Versorgung komme. Auch komme es zu Entführungen und schweren Anschlägen, weshalb der Nordirak immer noch als ein gefährliches Gebiet ein­gestuft werden müsse. Diese Schlussfolgerung werde nicht nur durch Medienberichte, sondern auch durch persönliche Berichte von Botschaftern und Reportern gestützt. Insgesamt sei festzuhalten, dass die Situation im Nordirak zu instabil sei, um eine Minimalsicherheit gewährleisten zu können. Auch in individueller Hinsicht sei eine Rückkehr in den Irak nicht durchführbar, da ihm die Familie seiner Freundin zur Wiederherstellung der Familienehre nach dem Leben trachte. Aus diesen Gründen sei der Wegweisungs­vollzug unzulässig und un­zumutbar.</w:t>
      </w:r>
    </w:p>
    <w:p>
      <w:r>
        <w:rPr>
          <w:b/>
        </w:rPr>
        <w:t>E. 4.1</w:t>
      </w:r>
    </w:p>
    <w:p>
      <w:r>
        <w:t>Das Bundesamt regelt gemäss Art. 44 Abs. 2 AsylG das Anwesen­heitsverhältnis nach den gesetzlichen Bestimmungen über die vorläufi­ge Aufnahme nach dem AuG,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w:t>
      </w:r>
    </w:p>
    <w:p>
      <w:r>
        <w:rPr>
          <w:b/>
        </w:rPr>
        <w:t>E. 4.2.1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4.2.2</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Nachdem das BFM in seiner Verfügung vom 16. Februar 2006 rechtskräftig festgestellt hat, dass der Be­schwerdeführer die Flüchtlingseigenschaft nicht erfüllt, kann das Prin­zip des flüchtlingsrechtlichen Rückschiebungsverbots vorliegend nicht zur An­wendung gelangen. Der Vollzug der Wegweisung des Beschwer­deführers in den kurdisch verwalteten Nordirak ist daher unter dem As­pekt von Art. 5 AsylG rechtmässig.</w:t>
      </w:r>
    </w:p>
    <w:p>
      <w:r>
        <w:rPr>
          <w:b/>
        </w:rPr>
        <w:t>E. 4.2.3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der Rückschiebung Folter oder unmenschliche Behandlung drohen würde (vgl. EGMR [Grosse Kammer] Saadi gegen Italien, Urteil vom 28. Februar 2008 Beschwerde Nr. 37201/06, §§ 124 bis 127, mit weiteren Hinweisen). Dies ist jedoch vorliegend nicht der Fall, zumal der der befürchteten Tötung durch Dritte zugrunde liegende Sachverhalt nicht glaubhaft gemacht wurde. Weiter lässt nach Praxis des Bundesverwaltungsgerichts auch die all­gemeine Sicherheits- und Menschenrechtslage in den drei kurdischen Pro­vinzen Dohuk, Erbil und Sulaymaniya (vgl. hierzu die nachfolgende Er­wägung 4.3) den Wegweisungsvollzug nicht als un­zulässig er­scheinen.</w:t>
      </w:r>
    </w:p>
    <w:p>
      <w:r>
        <w:rPr>
          <w:b/>
        </w:rPr>
        <w:t>E. 4.2.4</w:t>
      </w:r>
    </w:p>
    <w:p>
      <w:r>
        <w:t>Nach dem Gesagten ist der Vollzug der Wegweisung sowohl im Sinne der asyl- als auch der völkerrechtlichen Bestimmungen zulässig.</w:t>
      </w:r>
    </w:p>
    <w:p>
      <w:r>
        <w:rPr>
          <w:b/>
        </w:rPr>
        <w:t>E. 4.3.1</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Das Bundesverwaltungsgericht ist in dem in BVGE 2008/5 publi­zierten Urteil vom 14. März 2008 auf­grund einer umfassenden Beurtei­lung der aktuellen Situation in den nordirakischen Provinzen Dohuk, Erbil und Sulaymaniya zum Schluss gekommen, dass in diesen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demgegenüber grosse Zurück­haltung angebracht (vgl. a.a.O. E. 7.5 und insbesondere E. 7.5.8). Die Sicherheitslage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statt vieler: Amt des Hohen Flüchtlingskommissars der Vereinten Nationen [UNHCR], Note on the Continued Applicability of the April 2009 UNHCR Eligibility Guidelines for Assessing the International Protection Needs of Iraqi Asylum-See­kers, Juli 2010, S. 2 ff.).</w:t>
      </w:r>
    </w:p>
    <w:p>
      <w:r>
        <w:rPr>
          <w:b/>
        </w:rPr>
        <w:t>E. 4.3.3</w:t>
      </w:r>
    </w:p>
    <w:p>
      <w:r>
        <w:t>Die ursprünglich vom Beschwerdeführer geltend gemachten Asylgründe wurden vom BFM in der rechtskräftig gewordenen Asylver­fügung vom 16. Februar 2006 als vollumfänglich unglaubhaft quali­fiziert. Weiter ist vorweg auf die Erwägungen in der Zwischenverfügung des Instruktionsrichters vom 22. April 2008 zu verweisen, in welcher fest­ge­hal­ten wurde, dass weder die allgemeine Sicherheitslage in den drei kurdischen Nordprovinzen noch individuelle Gründe gegen die Auf­hebung der vorläufigen Aufnahme sprechen würden. An den dort ge­troffenen Schlussfolgerungen ist in casu - angesichts der unverändert gebliebenen Sachlage - vollumfänglich festzuhalten (vgl. nach­stehende Ausführungen).</w:t>
      </w:r>
    </w:p>
    <w:p>
      <w:r>
        <w:rPr>
          <w:b/>
        </w:rPr>
        <w:t>E. 4.3.4</w:t>
      </w:r>
    </w:p>
    <w:p>
      <w:r>
        <w:t>Der Beschwerdeführer, der keine gesundheitlichen Beeinträchti­gungen geltend macht, stammt aus der nordirakischen Provinz C._______, wo er bis zu seiner Ausreise im Alter von (...) Jahren lebte, die Schule besuchte und in der (...) arbeitete (vgl. act. A9/19, S. 6 f.). Er ist somit mit den dortigen Verhältnissen bestens vertraut. Weiter verfügt er in seiner Herkunftsregion über familiäre Kontakte (Eltern und Geschwister) und dürfte überdies über weiter­gehende, vorbestehende Beziehungen verfügen, da er bis zur Aus­reise sein bisheriges ganzes Leben in der Heimatprovinz verbracht haben und dort auch die Schule be­sucht sowie gearbeitet haben will (vgl. act. A9/19, S. 4 und 6 f.). Vor diesem Hintergrund kann davon ausgegangen werden, dass der Beschwerdeführer nach seiner Rück­kehr in den Nordirak in der Lage sein wird, sich wiederum eine trag­fähi­ge Existenz aufzu­bauen. Es ist demnach nicht davon auszugehen, dass er bei seiner Rückkehr in die Heimatstadt aus individuellen Gründen wirtschaftlicher, sozialer oder gesund­heit­li­cher Natur in eine existenzbedrohende Situation geraten würde. Eine allfäl­lige Rückkehrhilfe der Schweiz dürfte ihm den Wie­dereinstieg in seiner Heimat ebenfalls erleichtern. Auch wenn er angibt, er sei hier mittlerweile gut integriert und sehe die Schweiz als seine Heimat an, lässt alleine der mittlerweile über sechsjährige Auf­enthalt des Beschwerdeführers in hiesigen Landen noch nicht auf eine über das übliche Mass hinausgehende, fortgeschrittene Integration schliessen. Der Beschwerdeführer hat weder seine prägenden Jahre in der Schweiz verbracht noch sind aus den Akten besondere An­strengungen in beruflicher, sozialer oder familiärer Hinsicht ersichtlich, welche für eine fortgeschrittene Verwurzelung in der Schweiz sprechen. Sodann sind keine weiteren individuellen Gründe ersichtlich, auf­grund derer allenfalls geschlossen werden könnte, der Beschwerde­führer gerate im Falle der Rückkehr in die Heimat in eine existenzbe­drohende Situation. Insbesondere lässt sich auch aus der türkischen Militärpräsenz im Grenzgebiet, welche die Aktivitäten der dortigen PKK-Kämpfer und nicht die nordirakischen Kurden im Visier hat, keine individuelle Gefährdung ableiten. Auch legt der Beschwerdeführer nicht näher dar, inwiefern er von den religiös begründeten Aus­einandersetzungen zwischen Sunniten und Schiiten konkret betroffen sein könnte, und machte auch im Verlaufe des ordentlichen Asylver­fahrens in diesem Zusammenhang keinerlei religiösen oder politischen Probleme geltend.</w:t>
      </w:r>
    </w:p>
    <w:p>
      <w:r>
        <w:rPr>
          <w:b/>
        </w:rPr>
        <w:t>E. 4.3.5</w:t>
      </w:r>
    </w:p>
    <w:p>
      <w:r>
        <w:t>Gestützt auf die vorstehenden Erwägungen ist der Vollzug der Wegweisung im heutigen Zeitpunkt sowohl in genereller als auch in in­dividueller Hinsicht als zumutbar zu erachten.</w:t>
      </w:r>
    </w:p>
    <w:p>
      <w:r>
        <w:rPr>
          <w:b/>
        </w:rPr>
        <w:t>E. 4.4</w:t>
      </w:r>
    </w:p>
    <w:p>
      <w:r>
        <w:t>Schliesslich bleibt gemäss Art. 83 Abs. 2 AuG zu prüfen, ob der Vollzug der Wegweisung möglich ist. Es bestehen gemäss Erkenntnis­sen des Bundesverwaltungsgerichts direkte Flugverbindungen zwi­schen Europa und dem Nordirak. Die Beschaffung der für die Rück­kehr notwendigen Reisedokumente obliegt dem Beschwerdeführer (Art. 8 Abs. 4 AsylG). Der Vollzug der Wegweisung ist somit auch als möglich zu bezeichnen.</w:t>
      </w:r>
    </w:p>
    <w:p>
      <w:r>
        <w:rPr>
          <w:b/>
        </w:rPr>
        <w:t>E. 5</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 soweit darauf einzutreten ist.</w:t>
      </w:r>
    </w:p>
    <w:p>
      <w:r>
        <w:rPr>
          <w:b/>
        </w:rPr>
        <w:t>E. 6</w:t>
      </w:r>
    </w:p>
    <w:p>
      <w:r>
        <w:t>Bei diesem Ausgang des Verfahrens sind die Kosten in Höhe von ins­ge­samt Fr. 600.-- dem Beschwerdeführer aufzuerlegen (Art. 63 Abs. 1 und 5 VwVG; Art. 1-3 des Reglements vom 21. Februar 2008 über die Kosten und Entschädigungen vor dem Bundesverwaltungsgericht [VGKE, SR 173.320.2]) und mit dem am 25. April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