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D-2237/2011 vom 13. Juli 2012</w:t>
      </w:r>
    </w:p>
    <w:p>
      <w:r>
        <w:t>Bundesverwaltungsgericht, 2012-07-13, DE</w:t>
      </w:r>
    </w:p>
    <w:p>
      <w:r>
        <w:rPr>
          <w:b/>
        </w:rPr>
        <w:t xml:space="preserve">Quelle: </w:t>
      </w:r>
      <w:r>
        <w:t>https://mcp.opencaselaw.ch/entscheid/bvger_D-2237_2011</w:t>
      </w:r>
    </w:p>
    <w:p>
      <w:r>
        <w:t>FR: TAF D-2237/2011 du 13 juillet 2012</w:t>
      </w:r>
    </w:p>
    <w:p>
      <w:r>
        <w:t>IT: TAF D-2237/2011 del 13 luglio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bereits mit Zwischenverfügung vom 3. Mai 2011 festgestellt, richtet sich die Beschwerde ausschliesslich gegen den angeordneten Vollzug der Wegweisung. Die Ziffern 1 (Verneinung der Flüchtlingseigenschaft) und 2 (Ablehnung des Asylgesuchs) des Dispositivs der Verfügung des BFM vom 23. März 2011 sind somit mangels Anfechtung in Rechtskraft erwachsen. Auch die Wegweisung als solche ist nicht mehr zu überprüfen (Ziffer 3 des Urteilsdispositivs). Gegenstand des vorliegenden Beschwerdeverfahrens bildet somit lediglich die Frage, ob allenfalls wegen Unzulässigkeit, Unzumutbarkeit oder Unmöglichkeit des Vollzugs der Wegweisung die vorläufige Aufnahme anzuordnen ist (Art. 44 AsylG i.V.m. Art. 83 Abs. 4 des Bundesgesetzes vom 16. Dezember 2005 über die Ausländerinnen und Ausländer [AuG, SR 142.20].</w:t>
      </w:r>
    </w:p>
    <w:p>
      <w:r>
        <w:rPr>
          <w:b/>
        </w:rPr>
        <w:t>E. 4</w:t>
      </w:r>
    </w:p>
    <w:p>
      <w:r>
        <w:t>Vorab werden in der Beschwerde formelle Rügen erhoben. Das BFM habe die Begründungspflicht verletzt, indem es unter anderem unterlassen habe, sich im angefochtenen Entscheid im Sinne des Urteils des Bundesverwaltungsgerichts E-5929/2006 vom 20. Dezember 2010 mit der langjährigen Praxis des Bundesverwaltungsgerichts auseinanderzusetzen. Ausserdem stütze sich die Vorinstanz im angefochtenen Entscheid auf einen vorinstanzlichen Länderbericht zu Sri Lanka, ohne nähere oder erklärende Angaben dazu zu machen.</w:t>
      </w:r>
    </w:p>
    <w:p>
      <w:r>
        <w:rPr>
          <w:b/>
        </w:rPr>
        <w:t>E. 4.1.1</w:t>
      </w:r>
    </w:p>
    <w:p>
      <w:r>
        <w:t>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26 - 28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Christoph Auer/Markus Müller/Benjamin Schindler [Hrsg.], Kommentar zum VwVG, Zürich/ St. Gallen 2008, Art. 26, N 2; Alfred Kölz/Isabelle Häner, Verwaltungsverfahren und Verwaltungsrechtspflege des Bundes, 2. Aufl., Zürich 1998, Rz. 295; Bernhard Waldmann/Magnus Oeschger, in: Bernhard Waldmann/Philippe Weissenberger [Hrsg.], Praxiskommentar VwVG, Zürich/ 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sowie ausserdem alle Unterlagen, welche grundsätzlich geeignet sind, in einem konkreten Verfahren als Beweismittel zu dienen (dazu BGE 132 V 387 E. 3.2 S. 389, 121 I 225 E. 2a S. 227, 119 Ib 12 E. 6b S. 20; Entscheidungen und Mitteilungen der Schweizerischen Asylrekurskommission [EMARK] 1994 Nr. 1 E. 3a;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 Alexandra Schwank, in: Waldmann/Weissenberger [Hrsg.], a.a.O., Art. 35, N 10, 17).</w:t>
      </w:r>
    </w:p>
    <w:p>
      <w:r>
        <w:rPr>
          <w:b/>
        </w:rPr>
        <w:t>E. 4.1.2</w:t>
      </w:r>
    </w:p>
    <w:p>
      <w:r>
        <w:t>In der angefochtenen Verfügung ist kein ausdrücklicher Hinweis auf einen konkreten Dienstreisebericht enthalten. Auch in der Vernehmlassung hat sich das BFM nicht zum fraglichen Dienstreisebericht an sich geäussert. Indessen ist unbestritten, dass das Bundesamt im September 2010 eine Dienstreise nach Sri Lanka durchführte, um Erkenntnisse zur dortigen Lage nach dem Ende des Bürgerkriegs sowie zur Frage zu gewinnen, ob und inwiefern sich die Zumutbarkeit einer allfälligen Rückkehr sri-lankischer Asylsuchender in ihren Heimatstaat verändert habe. In der angefochtenen Verfügung ist zudem von "Erkenntnissen" des BFM die Rede, wobei in diesem Zusammenhang auf die erwähnte Dienstreise sowie die UNHCR-Richtlinien vom 5. Juli 2010 hingewiesen wird. Es werden keine anderweitigen Quellen genannt. Somit ist objektiv davon auszugehen, dass die Erkenntnisse des Bundesamts, welche zur Begründung einer Praxisänderung in Bezug auf die Beurteilung der Durchführbarkeit des Wegweisungsvollzugs nach Sri Lanka herangezogen werden, unter anderem auf die Dienstreise vom Herbst 2010 zurückgehen. Mit anderen Worten stützt sich die angefochtene Verfügung in entscheidwesentlicher Weise auf die Informationen, welche auf­grund der Reise einer Delegation des BFM nach Sri Lanka gewonnen wurden.</w:t>
      </w:r>
    </w:p>
    <w:p>
      <w:r>
        <w:rPr>
          <w:b/>
        </w:rPr>
        <w:t>E. 4.1.3</w:t>
      </w:r>
    </w:p>
    <w:p>
      <w:r>
        <w:t>Ungeachtet dessen, ob in der angefochtenen Verfügung ein konkreter Bericht zur fraglichen Dienstreise und mithin ein spezifisches Aktenstück genannt wird oder ob nur auf die Dienstreise an sich verwiesen wird, ist festzustellen, dass das aus dem verfassungsmässigen Anspruch auf rechtliches Gehör resultierende Recht des Beschwerdeführers auf Information über die wesentlichen Entscheidgrundlagen im vorliegenden Fall nicht ausreichend gewahrt worden ist. Indem sich das BFM in der angefochtenen Verfügung argumentativ wesentlich auf die Erkenntnisse der Dienstreise nach Sri Lanka vom Herbst 2010 gestützt hat, wäre es jedenfalls unter dem Gesichtspunkt der Begründungspflicht gehalten gewesen, dem Beschwerdeführer diese Erkenntnisse mit angemessener Transparenz offenzulegen. Eine knappe Wiedergabe lediglich der wichtigsten aus der Dienstreise gezogenen Schlüsse, wie mit der angefochtenen Verfügung geschehen, wird dem Informationsanspruch des Beschwerdeführers nicht gerecht. Der Anspruch des Beschwerdeführers auf Einsicht in die Ergebnisse der Dienstreise setzt vielmehr voraus, dass ihm diese zumindest in Form einer schriftlichen Zusammenfassung zugänglich gemacht werden. Dabei hat diese Zusammenfassung alle wesentlichen Aspekte wiederzugeben, welche für die aufgrund der Dienstreise getroffenen Einschätzungen von konkreter Bedeutung sind.</w:t>
      </w:r>
    </w:p>
    <w:p>
      <w:r>
        <w:rPr>
          <w:b/>
        </w:rPr>
        <w:t>E. 4.2.1</w:t>
      </w:r>
    </w:p>
    <w:p>
      <w:r>
        <w:t>Das BFM hat sich auf den Dienstreisebericht des BFM vom September 2010 in der angefochtenen Verfügung gestützt (siehe Erwägung E. 4.1.2 vorstehend), nähere diesbezügliche Ausführungen jedoch unterlassen. Bei dieser Sachlage ist festzustellen, dass das BFM den Anspruch des Beschwerdeführers auf rechtliches Gehör verletzt hat. Dieser Anspruch ist sodann formeller Natur, weshalb seine Verletzung grundsätzlich ohne weiteres - das heisst ungeachtet der materiellen Auswirkungen - zur Aufhebung des daraufhin ergangenen Entscheides führt (vgl. BVGE 2008/14 E. 4.1 S. 185, BVGE 2007/30 E. 8.2 S. 371 mit weiteren Hinweisen,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BGE 133 I 201, BVGE 2007/30 E. 8.2, im gleichen Sinne BVGE 2007/27 E. 10.1 S. 332, wobei gemäss diesem Entscheid eine Heilung die Ausnahme bleiben soll, Urteil des Bundesverwaltungsgerichts C 1181/2009 vom 8. September 2010).</w:t>
      </w:r>
    </w:p>
    <w:p>
      <w:r>
        <w:rPr>
          <w:b/>
        </w:rPr>
        <w:t>E. 4.2.2</w:t>
      </w:r>
    </w:p>
    <w:p>
      <w:r>
        <w:t>Das Bundesverwaltungsgericht hat das BFM im Rahmen eines anderen hängigen Verfahrens mit Schreiben vom 29. November 2011 angewiesen, die Ergebnisse der Dienstreise nach Sri Lanka vom September 2010 schriftlich zusammenzufassen und dem Bundesverwaltungsgericht zu übermitteln. Daraufhin übermittelte das BFM mit Schreiben vom 22. Dezember 2011 die verlangte Zusammenfassung der Ergebnisse der Dienstreise nach Sri Lanka vom September 2010.</w:t>
      </w:r>
    </w:p>
    <w:p>
      <w:r>
        <w:rPr>
          <w:b/>
        </w:rPr>
        <w:t>E. 4.2.3</w:t>
      </w:r>
    </w:p>
    <w:p>
      <w:r>
        <w:t>Mit Zwischenverfügung vom 29. März 2012 wurde dem Beschwerdeführer eine Kopie der erwähnten Zusammenfassung übermittelt. Gleichzeitig wurde ihm die Gelegenheit gegeben, dazu bis am 13. April 2012, eine Stellungnahme einzureichen. Mit Eingabe vom 11. April 2012 liess er sich fristgerecht vernehmen. Angesichts der dem Beschwerdeführer gewährten Gelegenheit zur Stellungnahme kann der vom Beschwerdeführer geltend gemachte Verfahrensmangel als geheilt erachtet werden (vgl. BVGE 2008/47 E. 3.3.4 S. 676 f.)</w:t>
      </w:r>
    </w:p>
    <w:p>
      <w:r>
        <w:rPr>
          <w:b/>
        </w:rPr>
        <w:t>E. 4.2.4</w:t>
      </w:r>
    </w:p>
    <w:p>
      <w:r>
        <w:t>Art. 19 VwVG i.V.m. Art. 37 des Bundesgesetzes vom 4. Dezember 1947 über den Bundeszivilprozess (BZP, SR 273) verpflichtet die Behörde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angebotenen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w:t>
      </w:r>
    </w:p>
    <w:p>
      <w:r>
        <w:rPr>
          <w:b/>
        </w:rPr>
        <w:t>E. 4.2.5</w:t>
      </w:r>
    </w:p>
    <w:p>
      <w:r>
        <w:t>Vor diesem Hintergrund ist festzustellen, dass zusätzliche Abklärungen im vorliegenden Beschwerdeverfahren nicht zu neuen sachdienlichen Erkenntnissen führen könnten beziehungsweise auch im vorinstanzlichen Verfahren nicht entscheiderheblich gewesen wären, weil sich seit dem Länderbericht der Vorinstanz die Lage in Sri Lanka nicht grundlegend geändert hat: In antizipierter Beweiswürdigung ist festzustellen, dass eine ergänzende, vertiefte Sachverhaltsfeststellung bei der Beurteilung des vorliegenden Verfahrens nicht zu einem anderen Entscheid führen könnte. Die entsprechenden Beweisanträge werden demnach abgewiesen. Auch an dieser Stelle gilt es zu berücksichtigen, dass allein der Umstand, dass das BFM eine andere Schlussfolgerung im Vollzugspunkt zog als der Beschwerdeführer, keine Verletzung der Untersuchungspflicht darstellt, weshalb die entsprechende Rüge nicht gehört werden kann.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Sri Lanka lässt den Wegweisungsvollzug zum heutigen Zeitpunkt klarerweise nicht als unzulässig erscheinen. Nach dem Gesagten ist der Vollzug der Wegweisung sowohl im Sinne der asyl- als auch der völkerrechtlichen Bestimmungen zulässig.</w:t>
      </w:r>
    </w:p>
    <w:p>
      <w:r>
        <w:rPr>
          <w:b/>
        </w:rPr>
        <w:t>E. 5.4</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5.5</w:t>
      </w:r>
    </w:p>
    <w:p>
      <w:r>
        <w:t>Gemäss öffentlich zugänglichen Quellen ist heute im Heimatstaat des Beschwerdeführers von einer seit Ende des bewaffneten Konflikts zwischen der sri-lankischen Armee und den LTTE im Mai 2009 erheblich verbesserten Menschenrechts- und Sicherheitslage auszugehen, auch wenn sich das Land immer noch in einem Entwicklungsprozess befindet (vgl. BVGE 2011/24 E. 12 S. 509). Laut UNHCR "bedürfen Personen aus dem Norden des Landes in Übereinstimmung mit den einschlägigen Prinzipien und Kriterien des Flüchtlingsrechts oder komplementären Schutzformen nicht länger alleine wegen der Gefahr von Schäden, die durch wahlloses Vorgehen verursacht werden, internationalen Schutzes" (vgl. a.a.O., mit Hinweis). Die Lage präsentiert sich jedoch nicht in allen Landesteilen gleich und muss differenziert betrachtet werden. Insbesondere die Lage in der Nordprovinz von Sri Lanka ist nach Einschätzung des Bundesverwaltungsgerichts differenziert einzuschätzen, da sich die Situation gebietsweise sehr unterschiedlich präsentiert (vgl. BVGE 2011/24 E. 13.2 S. 510). Insbesondere in den Gebieten, die bereits seit längerer Zeit unter Regierungskontrolle stehen, das heisst die Distrikte Jaffna und in den südlichen Teilen der Distrikte Vavuniya und Mannar, scheint der Alltag eingekehrt zu sein und die Lage in Jaffna hat sich namentlich nach der Öffnung der Verbindungsstrasse A9 (Hauptverkehrsachse zwischen Kandy in der Zentralprovinz nach Jaffna) im November 2009 deutlich gebessert und die Versorgungslage ist entspannt (vgl. a.a.O. E. 13.2.1 S. 510). Zusammenfassend ist somit festzustellen, dass in den genannten Provinzen (Distrikt Jaffna und die südlichen Teilen der Distrikte Vavuniya und Mannar) keine Situation allgemeiner Gewalt herrscht und die dortige politische Lage nicht dermassen angespannt ist, dass eine Rückkehr dorthin als generell unzumutbar eingestuft werden müsste (vgl. BVGE 2011/24 E. 13.2.1 S. 510).</w:t>
      </w:r>
    </w:p>
    <w:p>
      <w:r>
        <w:rPr>
          <w:b/>
        </w:rPr>
        <w:t>E. 5.6</w:t>
      </w:r>
    </w:p>
    <w:p>
      <w:r>
        <w:t>Zu prüfen bleibt die individuelle Zumutbarkeit der Wegweisung für den Beschwerdeführer. Nebst der allgemeinen Zumutbarkeit (beispielsweise die sozio-ökonomischen und medizinischen Aspekte und das Kindeswohl) ist dabei auch dem zeitlichen Element gebührend Rechnung zu tragen (vgl. a.a.O E. 13.2.1.1 f. S. 511). Für Personen, die aus der Nordprovinz stammen, bildet die Beendigung des Bürgerkrieges im Mai 2009 das entscheidende zeitliche Moment. Dabei sind bei Personen, wie dem Beschwerdeführer, der die Nordprovinz vor der Beendigung des Bürgerkrieges im Mai 2009 verlassen hat, die aktuell vorliegenden Lebens- und Wohnverhältnisse sorgfältig abzuklären und auf die Zumutbarkeit des Wegweisungsvollzuges hin zu überprüfen (vgl. a.a.O. E. 13.2.1.1 und E. 13.2.1.2 S. 511).</w:t>
      </w:r>
    </w:p>
    <w:p>
      <w:r>
        <w:rPr>
          <w:b/>
        </w:rPr>
        <w:t>E. 5.6.1</w:t>
      </w:r>
    </w:p>
    <w:p>
      <w:r>
        <w:t>Im Rahmen der Befragungen hat der Beschwerdeführer vorgetragen, er stamme aus M._______ bei N._______ ausserhalb des Vanni-Gebiets in der Nordprovinz (vgl. A1/10 S. 1; A19/9 S. 2). Vor seiner Ausreise nach Russland Ende 2001 will er sich zwei Wochen in Colombo aufgehalten haben (vgl. A1/10 S. 1; A12/11 S. 4 F. 22 - F. 27), wo er bei seiner Grossmutter mütterlicherseits gewohnt haben will (vgl. A12/11 S. 4 F. 24). Auch wenn der Beschwerdeführer seine Heimat rund siebeneinhalb Jahre vor der Beendung des Bürgerkrieges im Mai 2009 verlassen hat, hat er doch den grössten Teil seines Lebens in Sri Lanka verbracht.</w:t>
      </w:r>
    </w:p>
    <w:p>
      <w:r>
        <w:rPr>
          <w:b/>
        </w:rPr>
        <w:t>E. 5.6.2</w:t>
      </w:r>
    </w:p>
    <w:p>
      <w:r>
        <w:t>Aus den Befragungsprotokollen ergibt sich, dass der Beschwerdeführer in Sri Lanka die Schule bis zur 10. Klasse besucht hat (vgl. A1/10 S. 2). Er verfügt somit über eine solide Grundausbildung. Seinen Lebensunterhalt hat er in M._______ als Näher in seinem Laden (vgl. A1/10 S. 5) beziehungsweise im Laden seines Onkels (vgl. A12/11 S. 6 F. 48) verdient. Seine Eltern, zwei seiner insgesamt vier Geschwister, zwei Tanten sowie ein Onkel mütterlicherseits leben noch immer in M._______ (vgl. A12/11 S. 5 F. 34). Eine weitere Tante mütterlicherseits ist in O._______, P._______ ansässig (vgl. A12/11 S. 5 F. 34 und F. 36). Ein Onkel mütterlicherseits lebt in Europa (vgl. A12/11 S. 6 F. 54), in Frankreich (vgl. A1/10 S. 3). Dieser ist den Angaben des Beschwerdeführers zufolge für die Kosten seiner Reise aufgekommen. (vgl. A12/11 S. 6 F. 54).</w:t>
      </w:r>
    </w:p>
    <w:p>
      <w:r>
        <w:rPr>
          <w:b/>
        </w:rPr>
        <w:t>E. 5.6.3</w:t>
      </w:r>
    </w:p>
    <w:p>
      <w:r>
        <w:t>Aufgrund der persönlichen Verhältnisse des Beschwerdeführers ist vom Vorliegen begünstigender Faktoren auszugehen. Es ist anzunehmen, dass der Beschwerdeführer bei einer Rückkehr nach Sri Lanka auf ein existierendes tragfähiges familiäres Netz zurückgreifen kann. Bei der Wiedereingliederung in M._______, können ihm seine dort noch immerer ansässigen Angehörigen gegebenenfalls Unterstützung gewähren. Es bestehen demnach keine konkreten Anhaltspunkte dafür, dass er bei einer Rückkehr nach Sri Lanka in eine existenzielle Notlage geraten würden. Dies um so weniger, als die Ausreise des Beschwerdeführers von seinem in Frankreich lebenden Onkel finanziert worden ist (vgl. A12/11 S. 6 F. 54) und davon auszugehen ist, dass er ihm auch bei seiner Rückkehr Unterstützung zukommen lässt. Nach dem Gesagten erweist sich der Vollzug der Wegweisung auch als zumutbar.</w:t>
      </w:r>
    </w:p>
    <w:p>
      <w:r>
        <w:rPr>
          <w:b/>
        </w:rPr>
        <w:t>E. 5.7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5.8</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Mit Zwischenverfügung vom 5. Mai 2011 wurde das Gesuch um Gewährung der unentgeltlichen Rechtspflege im Sinne von Art. 65 Abs. 1 VwVG gutgeheissen. Es sind folglich keine Verfahrenskosten zu erheben. Einem Beschwerdeführer ist auch trotz materieller Abweisung der Beschwerde eine angemessene Parteientschädigung zuzusprechen, wenn ein zu Recht gerügter Verfahrensmangel, welcher grundsätzlich zur Kassation der angefochtenen Verfügung hätte führen müssen, im Beschwerdeverfahren geheilt wird (vgl. Lorenz Kneubühler, Gehörsverletzung und Heilung, ZBl 1998, S. 97 ff). Vorliegend wurde dem Beschwerdeführer das rechtliche Gehör zum vorinstanzlichen Länderbericht vom 22. Dezember 2011 zu Sri Lanka nicht schon durch die Vorinstanz, sondern erst auf Beschwerdeebene gewährt. Dieser Mangel wurde erst durch nachträgliche Gewährung der Akteneinsicht sowie die Möglichkeit einer Stellungnahme durch den Beschwerdeführer geheilt. Für die diesbezüglichen Aufwendungen des Beschwerdeführers ist ihm trotz Abweisung der Beschwerde eine vom BFM zu entrichtende Parteientschädigung zuzusprechen, die in Anwendung der zu berücksichtigenden Faktoren auf Fr. 500.-- zu bemessen ist (vgl. Art. 64 Abs. 1 VwVG, Art. 16 Abs. 1 Bst. a VGG i.V.m.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