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D-2233/2013 vom 13. Mai 2013</w:t>
      </w:r>
    </w:p>
    <w:p>
      <w:r>
        <w:t>Bundesverwaltungsgericht, 2013-05-13, DE</w:t>
      </w:r>
    </w:p>
    <w:p>
      <w:r>
        <w:rPr>
          <w:b/>
        </w:rPr>
        <w:t xml:space="preserve">Quelle: </w:t>
      </w:r>
      <w:r>
        <w:t>https://mcp.opencaselaw.ch/entscheid/bvger_D-2233_2013</w:t>
      </w:r>
    </w:p>
    <w:p>
      <w:r>
        <w:t>FR: TAF D-2233/2013 du 13 mai 2013</w:t>
      </w:r>
    </w:p>
    <w:p>
      <w:r>
        <w:t>IT: TAF D-2233/2013 del 13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Beschwerdeführenden wurden nicht zu ihren Asylgesuchen befragt. Sie haben ihre Vorbringen jedoch bereits im Asylgesuch vom (...) schriftlich dargelegt und mit Eingaben vom (...) ergänzt (vgl. Sachverhalt Bst. A). Der entscheidwesentliche Sachverhalt erscheint angesichts der schriftlichen Darlegung der Asylgründe soweit erstellt, dass die entscheidrelevanten Elemente vorliegen.</w:t>
      </w:r>
    </w:p>
    <w:p>
      <w:r>
        <w:rPr>
          <w:b/>
        </w:rPr>
        <w:t>E. 5.2.2</w:t>
      </w:r>
    </w:p>
    <w:p>
      <w:r>
        <w:t>Bei dieser Sachlage bestand keine Veranlassung, die Beschwer­deführenden vorgängig eines Entscheides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5.4</w:t>
      </w:r>
    </w:p>
    <w:p>
      <w:r>
        <w:t>Das BFM führte zur Begründung seiner Verfügung unter Bezugnahme auf die geltend gemachten Bedrohungen und Behelligungen durch die FARC im Wesentlichen aus, der kolumbianische Staat verfüge grundsätzlich über eine funktionierende und effiziente Schutzinfrastruktur, insbesondere über einen funktionierenden Polizeiapparat sowie über ein Rechts- und Justizsystem. Er bekämpfe die Aktivitäten der Guerilla im Rahmen des Möglichen, weshalb seine Schutzwilligkeit als gegeben erachtet werden könne. Dies gelte auch in casu, würde doch die Polizei gemäss den Angaben der Beschwerdeführenden an ihrem Wohnsitz Rundgänge durchführen. Zudem gelinge es keinem Staat, die absolute Sicherheit aller seiner Bürger jederzeit und überall zu garantieren (vgl. Entscheidungen und Mitteilungen der Schweizerischen Asylrekurskommission [EMARK] 1996 Nr. 28 S. 271 ff.). Bei den Beschwerdeführenden handle es sich nicht um landesweit bekannte Persönlichkeiten, weshalb nicht davon auszugehen sei, dass sie von ihren Verfolgern an einem beliebigen Ort ausfindig gemacht werden könnten. Sie hätten sich eigenen Angaben zufolge an anderen Orten in Kolumbien aufgehalten, jedoch nicht geltend gemacht, dort bedroht worden zu sein. Mithin sei es ihnen zumutbar, sich in eine Region Kolumbiens, beispielsweise (...), zu begeben, in denen die FARC nicht so stark vertreten seien. Sie hätten demnach die Möglichkeit, sich mit einem innerstaatlichen Wohnsitzwechsel vor ihren Verfolgern zu schützen. Demzufolge seien sie keiner unmittelbaren Gefahr im Sinne des Asylgesetzes ausgesetzt und bedürften dementsprechend nicht des Schutzes der Schweizer Behörden. Sodann hätten sie keine besonders nahen Beziehungen zur Schweiz geltend gemacht. Unter diesen Umständen sei es ihnen zuzumuten, im Sinne von Art. 52 Abs. 2 AsylG in einem anderen Land um Asylgewährung nachzusuchen, beispielsweise in einem der Nachbarstaaten Kolumbiens, welche sowohl das Abkommen vom 28. Juli 1951 über die Rechtsstellung der Flüchtlinge (FK, SR 0.142.30) als auch das entsprechende Zusatzprotokoll vom 31. Juli 1967 ratifiziert hätten, oder in einem anderen südamerikanischen Land. Schliesslich sei es ihnen zumutbar, die Entscheide der (...) und (...) Behörden, in welchen Ländern sie ebenfalls um Asyl nachgesucht hätten, abzuwarten.</w:t>
      </w:r>
    </w:p>
    <w:p>
      <w:r>
        <w:rPr>
          <w:b/>
        </w:rPr>
        <w:t>E. 5.5</w:t>
      </w:r>
    </w:p>
    <w:p>
      <w:r>
        <w:t>Die Beschwerde beschränkt sich sinngemäss auf eine Wiederholung der bisherigen Vorbringen. Zusätzlich wird ausgeführt, die von den Beschwerdeführenden in anderen Ländern gestellten Asylgesuche seien negativ beantwortet worden. Die Tatsache, dass sich die Beschwerdeführenden in K._______ aufhielten, bedeute nicht, dass sie dort sicher seien, zumal in der Stadt bestimmte kriminelle Gruppen gegen von den FARC als Gegner erklärte Personen vorgehen würden. Auch könnten die beiden minderjährigen Kinder (3 und 4) gegen ihren Willen von den FARC rekrutiert werden, damit sie gegen die kolumbianische Armee kämpfen; dafür würde ihnen eine Gefängnisstrafe drohen.</w:t>
      </w:r>
    </w:p>
    <w:p>
      <w:r>
        <w:rPr>
          <w:b/>
        </w:rPr>
        <w:t>E. 5.6</w:t>
      </w:r>
    </w:p>
    <w:p>
      <w:r>
        <w:t>Die Überprüfung der Akten ergibt, dass sich die Erwägungen in der angefochtenen Verfügung (vgl. E. 5.4) als zutreffend erweisen und den Beschwerdeführenden tatsächlich zugemutet werden kann, erforderlichenfalls ihr Domizil innerhalb von Kolumbien zu wechseln oder sich in einem Nachbarstaat oder in einem anderen südamerikanischen Land um Aufnahme zu bemühen. Daran vermögen die zusätzlichen Ausführungen in der Beschwerde nichts zu ändern. Vielmehr wird die vorinstanzliche Einschätzung der Gefährdung der Beschwerdeführenden durch das am (...) eingereichte Schreiben der (...) Botschaft in K._______ vom (...) im Zusammenhang mit dem Gesuch der Beschwerdeführenden um dauerhaften Aufenthalt bestätigt. So wird darin insbesondere erwogen, die Beschwerdeführenden würden durch den bewaffneten Konflikt in Kolumbien nicht ernsthaft und persönlich gefährdet und hätten die Möglichkeit für eine dauerhafte Lösung beziehungsweise Schutzalternative in Kolumbien, wobei sie sich auch an die kolumbianischen Behörden und NGOs wenden könnten. Dazu wurde den Beschwerdeführenden vor dem Endentscheid eine (...) Frist zur Stellungnahme eingeräumt. Ob dieser Entscheid seitens der kanadischen Behörden zwischenzeitlich ergangen ist und wie er allenfalls ausgefallen ist, kann den vorliegenden Akten nicht entnommen werden. Demgegenüber ergibt sich aus dem ebenfalls am (...) eingereichten Schreiben der O._______ vom (...), dass das Schutzersuchen der Beschwerdeführenden abgelehnt wurde, weil die geltend gemachten Verfolgungsvorbringen den Anforderungen der Bestimmungen für die Schutzgewährung nicht genügten. Trotzdem bleibt es den Beschwerdeführenden, sollten sie auf einen innerstaatlichen Domizilwechsel verzichten, anheimgestellt, sich in einem anderen südamerikanischen Land oder Nachbarstaat von Kolumbien um Schutzgewährung zu bemühen.</w:t>
      </w:r>
    </w:p>
    <w:p>
      <w:r>
        <w:rPr>
          <w:b/>
        </w:rPr>
        <w:t>E. 5.7</w:t>
      </w:r>
    </w:p>
    <w:p>
      <w:r>
        <w:t>Zusammenfassend ist festzustellen, dass es den Beschwerde­führenden nicht gelungen ist, eine aktuelle Verfolgung im Sinne von Art. 3 AsylG darzulegen. Es erübrigt sich, auf die weiteren Vorbringen in der Beschwerde einzugehen, da diese keine neuen Begründungs­elemente enthalten, welche geeignet wären, die Einschätzung des BFM entscheidend zu relativieren. Das BFM hat demnach den Beschwerdeführenden zu Recht die Einreise in die Schweiz verweigert und die Asylgesuche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