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D-2233/2010 vom 12. April 2010</w:t>
      </w:r>
    </w:p>
    <w:p>
      <w:r>
        <w:t>Bundesverwaltungsgericht, 2010-04-12, IT</w:t>
      </w:r>
    </w:p>
    <w:p>
      <w:r>
        <w:rPr>
          <w:b/>
        </w:rPr>
        <w:t xml:space="preserve">Quelle: </w:t>
      </w:r>
      <w:r>
        <w:t>https://mcp.opencaselaw.ch/entscheid/bvger_D-2233_2010</w:t>
      </w:r>
    </w:p>
    <w:p>
      <w:r>
        <w:t>FR: TAF D-2233/2010 du 12 avril 2010</w:t>
      </w:r>
    </w:p>
    <w:p>
      <w:r>
        <w:t>IT: TAF D-2233/2010 del 12 aprile 2010</w:t>
      </w:r>
    </w:p>
    <w:p>
      <w:pPr>
        <w:pStyle w:val="Heading2"/>
      </w:pPr>
      <w:r>
        <w:t>Regeste</w:t>
      </w:r>
    </w:p>
    <w:p>
      <w:r>
        <w:t>Asilo (non entrata nel merito) e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Le spese processuali, di CHF 600.-, sono poste a carico dei ricorrenti. Tale ammontare deve essere versato alla cassa del Tribunale amministrativo federale entro un termine di 30 giorni dalla spedizione della presenta sentenza.</w:t>
      </w:r>
    </w:p>
    <w:p>
      <w:r>
        <w:rPr>
          <w:b/>
        </w:rPr>
        <w:t>E. 3</w:t>
      </w:r>
    </w:p>
    <w:p>
      <w:r>
        <w:t>Comunicazione a: ricorrenti (Raccomandata; allegato: bollettino di versamento) UFM, Divisione soggiorno, con allegato l'incarto N (...) (per corriere interno; in copia) G._______ (in copia) Il giudice unico: La cancelliera: Pietro Angeli-Busi Lydia Lazar Köhli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