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D-2230/2013 vom 30. April 2013</w:t>
      </w:r>
    </w:p>
    <w:p>
      <w:r>
        <w:t>Bundesverwaltungsgericht, 2013-04-30, DE</w:t>
      </w:r>
    </w:p>
    <w:p>
      <w:r>
        <w:rPr>
          <w:b/>
        </w:rPr>
        <w:t xml:space="preserve">Quelle: </w:t>
      </w:r>
      <w:r>
        <w:t>https://mcp.opencaselaw.ch/entscheid/bvger_D-2230_2013</w:t>
      </w:r>
    </w:p>
    <w:p>
      <w:r>
        <w:t>FR: TAF D-2230/2013 du 30 avril 2013</w:t>
      </w:r>
    </w:p>
    <w:p>
      <w:r>
        <w:t>IT: TAF D-2230/2013 del 30 aprile 2013</w:t>
      </w:r>
    </w:p>
    <w:p>
      <w:pPr>
        <w:pStyle w:val="Heading2"/>
      </w:pPr>
      <w:r>
        <w:t>Regeste</w:t>
      </w:r>
    </w:p>
    <w:p>
      <w:r>
        <w:t>Flughafenverfahren (Asyl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5.1</w:t>
      </w:r>
    </w:p>
    <w:p>
      <w:r>
        <w:t>Auf Beschwerdeebende lässt der Beschwerdeführer - neben der Wiederholung seiner Sachdarstellung - vortragen, entgegen der Ansicht des BFM bestünden klare Hinweise darauf, dass er nach wie vor unter Verdacht stehe, nicht bloss ein "normales LTTE-Mitglied" oder gar nur ein "Angestellter", sondern ein "eigentliches Mitglied" gewesen zu sein, welches Informationen zurückhalte. Dieser Verdacht reiche nach wie vor aus, dass er erneut festgenommen und in "irreguläre Haft" versetzt werden könnte. Das Bundesamt schätze die Vorbringen des Beschwerdeführers zu Unrecht als unglaubhaft ein. Er habe angegeben, in welcher Art und Weise er im Lager misshandelt worden sei, ebenso, dass es verschiedene solche Vorfälle gegeben habe. Wenn das BFM auf die Zeitspanne (ein oder zwei Monate) der Folterungen abstelle, gehe dies an der Sache vorbei. Auch die rhetorische Frage, weshalb der Beschwerdeführer als einfacher E._______ so lange festgehalten worden sei, habe er bestmöglich beantwortet. Effektiv dürfte er nur festgehalten worden sein, weil die Sicherheitskräfte ihn nicht bloss als E._______ betrachteten, sondern ihm eine wichtigere Funktion unterstellten. Die Aussagen des Beschwerdeführers würden durch die vom Friedensrichter von F._______ verfasste Bestätigung bekräftigt. Die Angaben zur Haft würden auch durch die Aussagen seiner Ehefrau in ihrem (...) Asylverfahren bestätigt. Sie und die beiden Kinder seien im Juli 2012 auf dem Luftweg nach H._______ gelangt, wo sie als Flüchtlinge anerkannt worden seien. Aufgrund seiner Mitgliedschaft in der LTTE erfülle der Beschwerdeführer die Flüchtlingseigenschaft, gehöre er doch zur Risikogruppe der früheren LTTE-Mitglieder. Unter dem Titel "Grundsatz der Einheit der Familie" wendet der Beschwerdeführer sodann ein, es stehe fest, dass seine Ehefrau sowie die Kinder in H._______ als Flüchtlinge anerkannt seien und dort über eine Aufenthalts- bzw. Niederlassungsbewilligung verfügten. Da sich die Familie im Schengen Raum aufhalte, wäre eine Familienvereinigung ohne weiteres möglich. Das BFM habe bis anhin keine Prüfung vorgenommen, ob der Beschwerdeführer von seiner Ehefrau abgeleitet als Flüchtling anzuerkennen sei. Der angefochtene Entscheid berücksichtige weder die Interessen des Beschwerdeführers noch diejenigen der Familie in angemessener und fairer Weise.</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Was den Ausführungen des BFM auf Beschwerdeebene entgegengehalten wird, entkräftet die Argumentation der Vorinstanz nicht. Insbesondere verkennt der Beschwerdeführer, dass es bei der Prüfung der Glaubhaftigkeit nicht nur darauf ankommt, ob der Beschwerdeführer Angaben machte oder nicht, sondern vor allem darauf, ob die Angaben substanziiert, nachvollziehbar und widerspruchsfrei ausgefallen sind. Überdies lässt sich auch aus der Behauptung einer langen Haftdauer keine Schlussfolgerung auf die Glaubhaftigkeit der Aussagen beziehungsweise eine Gefährdung des Beschwerdeführers ziehen, da gerade die Frage der Haftdauer zunächst mittels Prüfung der Glaubhaftigkeit der Angaben des Beschwerdeführers zu klären ist. Soweit dargelegt wird, die Angaben des Beschwerdeführers würden durch diejenige seiner Ehefrau bei den (...) Behörden bestätigt, ist dies zunächst schon deshalb zu relativieren, weil keine entsprechenden Aussageprotokolle vorliegen. Aus dem eingereichten Entscheid der (...) Behörden gehen die Angaben der Ehefrau des Beschwerdeführers nur auszugsweise hervor. Nur am Rande sei dabei erwähnt, dass sie offenbar angab, der Beschwerdeführer habe als Fahrer - und nicht als E._______ - für die LTTE gearbeitet. Ebenfalls zu keinem anderen Resultat führt das eingereichte Bestätigungsschreiben, da es als Gefälligkeitsschreiben zu qualifizieren ist, insbesondere da völlig offen bleibt, woher die Person ihre behaupteten Erkenntnisse bezieht. Damit ergibt sich zusammengefasst, dass mit dem BFM von der Unglaubhaftigkeit der Angaben des Beschwerdeführers sowohl zu Art und Umfang seiner Tätigkeit für die LTTE als auch zur Art und Dauer seiner Haft nach Beendigung des Krieges in Sri Lanka auszugehen ist.</w:t>
      </w:r>
    </w:p>
    <w:p>
      <w:r>
        <w:rPr>
          <w:b/>
        </w:rPr>
        <w:t>E. 5.3</w:t>
      </w:r>
    </w:p>
    <w:p>
      <w:r>
        <w:t>Was auf Beschwerdeebene zum Grundsatz der flüchtlingsrechtlichen Einheit der Familie ausgeführt wird, überzeugt ebenfalls nicht. So findet die Behauptung, die Ehefrau sowie die Kinder des Beschwerdeführers seien in H._______ als Flüchtlinge anerkannt, in den eingereichten Unterlagen keine Stütze. Vielmehr geht aus den Dokumenten vom 23. Oktober 2012 beziehungsweise 24. Oktober 2012 hervor, dass das Asylgesuch abgelehnt wurde, jedoch eine Prüfung stattfinde, ob der Ehefrau und den Kindern aus humanitären Gründen der Aufenthalt in H._______ gewährt werden solle. Bis zum endgültigen Entscheid wurde der Ehefrau und ihren Kindern eine provisorische Aufenthaltserlaubnis ausgestellt. Die Sachlage präsentiert sich damit ganz anders als in der Beschwerdeschrift geschildert. Nach dem Gesagten erübrigen sich dazu weitere Erörterungen.</w:t>
      </w:r>
    </w:p>
    <w:p>
      <w:r>
        <w:rPr>
          <w:b/>
        </w:rPr>
        <w:t>E. 5.4</w:t>
      </w:r>
    </w:p>
    <w:p>
      <w:r>
        <w:t>Insgesamt gelangt das Bundesverwaltungsgericht zur Erkenntnis, dass das BFM zu Recht von der Feststellung der Flüchtlingseigenschaft abgesehen und das Asylgesuch abgelehnt hat. Bei dieser Sachlage erübrigt es sich, auf die weiteren Ausführungen in der Beschwerdeschrift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im Grundsatzurteil BVGE 2011/24 eine neue Beurteilung der allgemeinen Lage sowie der Situation in den Nord- und Ostprovinzen Sri Lankas unter dem Sicherheitsaspekt vorgenommen. Von den dortigen Schlussfolgerungen abzuweichen, besteht entgegen der Ausführungen in der Beschwerdeschrift keine Veranlassung. Vielmehr sind unter Berücksichtigung der dortigen Ausführungen keine Gründe ersichtlich, welche den Wegweisungsvollzug des Beschwerdeführers nach Sri Lanka als unzumutbar erscheinen liessen. Insbesondere hat das BFM zutreffend beachtet, dass der Beschwerdeführer eigenen Angaben zufolge zwar mehrere Jahre im Vanni-Gebiet (vgl. dazu BVGE 2011/24 E. 13.2.2.1 ff. S. 511 ff.) lebte, sich jedoch seine Eltern sowie ein Bruder in I._______ aufhalten (vgl. Akten BFM A 20/18 S. 4). Des Weiteren sind auch keine individuellen Gründe ersichtlich, welche gegen die Zumutbarkeit des Wegweisungsvollzuges sprechen würden. Zwar ist verständlich, dass der Beschwerdeführer (wieder) mit seiner Ehefrau und den gemeinsamen Kindern zusammenleben möchte, doch besteht für eine Familienvereinigung in der Schweiz keine gesetzliche Grundlage. Vielmehr ist es Sache des Beschwerdeführers, sich allenfalls bei den (...) Behörden um Aufnahme zu bemühen.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Mit vorliegendem Entscheid in der Hauptsache wird das Gesuch um Kostenvorschusserlass gegenstandslos.</w:t>
      </w:r>
    </w:p>
    <w:p>
      <w:r>
        <w:rPr>
          <w:b/>
        </w:rPr>
        <w:t>E. 10</w:t>
      </w:r>
    </w:p>
    <w:p>
      <w:r>
        <w:t>Das mit der Beschwerde gestellte Gesuch um Gewährung der unentgeltlichen Rechtspflege im Sinne von Art. 65 Abs. 1 VwVG ist abzuweisen, da die Begehren - wie sich aus den vorstehenden Erwägungen ergibt - als aussichtslos zu bezeichnen waren, weshalb die (kumulativen) Voraussetzungen für die Gewährung der unentgeltlichen Rechtspflege nicht erfüllt sind. Bei diesem Ausgang des Verfahrens sind die Kosten von Fr. 600.-- (Art. 1 - 3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