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D-222/2009 vom 13. Januar 2012</w:t>
      </w:r>
    </w:p>
    <w:p>
      <w:r>
        <w:t>Bundesverwaltungsgericht, 2012-01-13, DE</w:t>
      </w:r>
    </w:p>
    <w:p>
      <w:r>
        <w:rPr>
          <w:b/>
        </w:rPr>
        <w:t xml:space="preserve">Quelle: </w:t>
      </w:r>
      <w:r>
        <w:t>https://mcp.opencaselaw.ch/entscheid/bvger_D-222_2009</w:t>
      </w:r>
    </w:p>
    <w:p>
      <w:r>
        <w:t>FR: TAF D-222/2009 du 13 janvier 2012</w:t>
      </w:r>
    </w:p>
    <w:p>
      <w:r>
        <w:t>IT: TAF D-222/2009 del 13 gennaio 2012</w:t>
      </w:r>
    </w:p>
    <w:p>
      <w:pPr>
        <w:pStyle w:val="Heading2"/>
      </w:pPr>
      <w:r>
        <w:t>Regeste</w:t>
      </w:r>
    </w:p>
    <w:p>
      <w:r>
        <w:t>Asyl und Wegweisung</w:t>
      </w:r>
    </w:p>
    <w:p>
      <w:pPr>
        <w:pStyle w:val="Heading2"/>
      </w:pPr>
      <w:r>
        <w:t>Erwägungen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Beschwerdeführer wurden vom BFM in seinem Entscheid vom 8. September 2011 aufgrund von Nachfluchtgründen beziehungsweise in Beachtung von Art. 51 Abs. 1 AsylG wiedererwägungsweise als Flüchtlinge anerkannt und wegen Unzulässigkeit des Wegweisungsvollzugs vorläufig in der Schweiz aufgenommen. Daher erübrigt sich eine Prüfung der Frage der Zumutbarkeit sowie der Möglichkeit des Wegweisungsvollzugs (vgl. BVGE 2009/51 E. 5.4 S. 748, EMARK 2006 Nr. 6 E. 4 S. 54 f.). Die Beschwerde gegen den ursprünglich angeordneten Wegweisungsvollzug erweist sich demnach als gegenstandslos und ist diesbezüglich abzuschreiben.</w:t>
      </w:r>
    </w:p>
    <w:p>
      <w:r>
        <w:rPr>
          <w:b/>
        </w:rPr>
        <w:t>E. 6</w:t>
      </w:r>
    </w:p>
    <w:p>
      <w:r>
        <w:t>Aus diesen Erwägungen ergibt sich, dass die angefochtene Verfügung - die Vorfluchtgründe, die Verweigerung von Asyl und die Wegweisung als solche betreffend - Bundesrecht nicht verletzt, den rechtserheblichen Sachverhalt richtig und vollständig feststellt und angemessen ist (Art. 106 AsylG). Die Beschwerde ist nach dem Gesagten abzuweisen, soweit sie nicht als gegenstandslos geworden abzuschreiben ist.</w:t>
      </w:r>
    </w:p>
    <w:p>
      <w:r>
        <w:rPr>
          <w:b/>
        </w:rPr>
        <w:t>E. 7.1</w:t>
      </w:r>
    </w:p>
    <w:p>
      <w:r>
        <w:t>Bei diesem Verfahrensausgang ist von einem teilweisen Obsiegen der Beschwerdeführer auszugehen. Demnach wäre ihnen nach dem Grad des Durchdringens praxisgemäss ein Drittel der Verfahrenskosten aufzuerlegen (Art. 63 Abs. 1 und 5 VwVG; Art. 1-3 des Reglements vom 21. Februar 2008 über die Kosten und Entschädigungen vor dem Bundesverwaltungsgericht [VGKE, SR 173.320.2]). Jedoch ersuchten die Beschwerdeführer in ihrer Beschwerdeschrift um die Gewährung der unentgeltlichen Prozessführung im Sinne von Art. 65 Abs. 1 VwVG. Diesbezüglich wird eine Partei, die nicht über die erforderlichen Mittel verfügt,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Vorliegend ist von der Bedürftigkeit der Beschwerdeführer auszugehen. Auch können die Begehren der Beschwerde nicht als aussichtslos bezeichnet werden. Das Gesuch um Gewährung der unentgeltlichen Prozessführung ist somit gutzuheissen, weshalb keine Verfahrenskosten aufzuerlegen sind.</w:t>
      </w:r>
    </w:p>
    <w:p>
      <w:r>
        <w:rPr>
          <w:b/>
        </w:rPr>
        <w:t>E. 7.2</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Gegenstandslosigkeit durch die wiedererwägungsweise Gewährung der vorläufigen Aufnahme durch das BFM herbeigeführt wurde. Den vertretenen Beschwerdeführern ist folglich in Anwendung von Art. 64 VwVG und Art. 7 Abs. 2 VGKE eine praxisgemäss um einen Drittel reduzierte Entschädigung für die ihnen notwendigerweise erwachsenen Parteikosten zuzusprechen. Von der Rechtsvertretung wurde mit Eingabe vom 3. Oktober 2011 eine Kostennote eingereicht. Das darin ausgewiesene Honorar (Stundenansatz von Fr. 200.-) von total Fr. 2637.50 ist auf Fr. 2530.- zu kürzen, da für die Leistungen vom 20. August 2009 ohne weitere Begründung ein Stundenansatz von Fr. 250.- aufgeführt wird und der Aufwand für die Erstellung und Einreichung der Honorarnote praxisgemäss nicht angerechnet wird, weil es sich um eine Sekretariatsarbeit handelt, deren Aufwendungen im Stundenansatz bereits enthalten sind. Gestützt auf die in Betracht zu ziehenden Bemessungsfaktoren (vgl. Art. 7-14 VGKE) sowie auf die eingereichte und im erwähnten Umfang zu kürzende Kostennote ist die um einen Drittel reduzierte Parteientschädigung, welche vom BFM zu entrichten ist, auf Fr. 1'892.-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