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D-2220/2007 vom 6. Dezember 2010</w:t>
      </w:r>
    </w:p>
    <w:p>
      <w:r>
        <w:t>Bundesverwaltungsgericht, 2010-12-06, DE</w:t>
      </w:r>
    </w:p>
    <w:p>
      <w:r>
        <w:rPr>
          <w:b/>
        </w:rPr>
        <w:t xml:space="preserve">Quelle: </w:t>
      </w:r>
      <w:r>
        <w:t>https://mcp.opencaselaw.ch/entscheid/bvger_D-2220_2007</w:t>
      </w:r>
    </w:p>
    <w:p>
      <w:r>
        <w:t>FR: TAF D-2220/2007 du 6 décembre 2010</w:t>
      </w:r>
    </w:p>
    <w:p>
      <w:r>
        <w:t>IT: TAF D-2220/2007 del 6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Art. 48 Abs. 1 VwVG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dem vorstehend wiedergegebenen Art. 3 AsylG erfüllt eine asylsuchende Person entsprechend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machen nicht geltend, sie seien zufolge bereits erlittener Verfolgungshandlungen ausgereist. Zu prüfen bleibt somit, ob im Zeitpunkt der Ausreise begründete Furcht vor Verfolgung bestand beziehungsweise von den Beschwerdeführenden zumindest glaubhaft gemacht wurde.</w:t>
      </w:r>
    </w:p>
    <w:p>
      <w:r>
        <w:rPr>
          <w:b/>
        </w:rPr>
        <w:t>E. 4.2</w:t>
      </w:r>
    </w:p>
    <w:p>
      <w:r>
        <w:t>Gemäss konstanter Praxis der ARK, die vom Bundesverwaltungsgericht weiter geführt wird, liegt mit Bezug auf den Zeitpunkt der Ausreise eine begründete Furcht vor Verfolgung im Sinne von Art. 3 Abs. 1 AsylG vor, wenn konkreter Anlass zur Annahme besteht, Letztere hätte sich mit beachtlicher Wahrscheinlichkeit und in absehbarer Zeit verwirklicht.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statt vieler EMARK 2005 Nr. 21 E. 7.1. S. 193, mit weiteren Hinweisen).</w:t>
      </w:r>
    </w:p>
    <w:p>
      <w:r>
        <w:rPr>
          <w:b/>
        </w:rPr>
        <w:t>E. 4.3.1</w:t>
      </w:r>
    </w:p>
    <w:p>
      <w:r>
        <w:t>Das Bundesverwaltungsgericht kam im Urteil vom 18. November 2010 betreffend das Verfahren der (...) beziehungsweise (...) der Beschwerdeführenden (D-566/2007) zum Schluss, eine konkrete Verfolgungsgefahr lasse sich weder aus der Aufdeckung von Unterschlagungen noch aus den regimekritischen Aktivitäten (des [...] bzw. [...]) im Heimatland ableiten. Soweit die Beschwerdeführerin sich bei ihren Asylvorbringen auf diejenigen ihres (...) abstützt, kann diesbezüglich auf das Urteil sowie die entsprechenden Erwägungen im Verfahren ihrer (...) verwiesen werden.</w:t>
      </w:r>
    </w:p>
    <w:p>
      <w:r>
        <w:rPr>
          <w:b/>
        </w:rPr>
        <w:t>E. 4.3.2</w:t>
      </w:r>
    </w:p>
    <w:p>
      <w:r>
        <w:t>Darüber hinaus macht die Beschwerdeführerin geltend, sie sei auch nach der Ausreise ihres (...) noch politisch tätig gewesen und habe an den Demonstrationen am 2. und 3. des 3. Monats 2000 teilgenommen (vgl. A2/9 S. 5). Dabei sei sie erneut identifiziert und in der Folge von der Universität ausgeschlossen worden. Für diesbezügliche weitere Auskünfte hätte sie sich beim zuständigen Ministerium melden müssen. Eine Vorladung habe sie jedoch nicht erhalten, allerdings habe sie sich ja versteckt gehalten (vgl. A13/13 S. 7 f. und S. 9). Das Bundesverwaltungsgericht teilt aufgrund der Akten die vorinstanzliche Auffassung, wonach die Beschwerdeführerin nicht glaubhaft zu machen vermag, im Zeitpunkt ihrer Ausreise habe für sie eine ernsthafte Gefahr bestanden, in einem bestimmbaren oder wenigstens eingrenzbaren Zeitpunkt durch die iranischen Behörden in asylrechtlich relevanter Weise belangt zu werden. Selbst wenn nämlich von der Echtheit des Schreibens der Universität, wonach die Beschwerdeführerin ausgeschlossen wurde, ausgegangen wird, lässt dieses nicht auf das Vorliegen einer konkreten, asylrelevanten Verfolgungssituation schliessen. Ebenso wenig lässt sich die Annahme einer Gefährdungssituation auf die (behaupteten) Bildaufnahmen anlässlich der Demonstrationen vom 2. und 3. Khordad 1379 (23./24. Mai 2000) stützen. Insbesondere ist nicht davon auszugehen, dass in einem Staat wie dem Iran potenziell gefährdete Aktivisten dadurch gewarnt würden, dass ihre Teilnahme an einer Demonstration im Fernsehen öffentlich gemacht wird, wovon angesichts der Angaben der Beschwerdeführerin jedoch auszugehen ist (vgl. A 13/13 S. 7). Die Vorbringen der Beschwerdeführerin sind somit insgesamt nicht geeignet, glaubhaft zu machen, sie habe mit einer gewissen, über den Grad blosser Spekulation hinaus reichender Verlässlichkeit mit Sanktionen seitens der heimatlichen Behörden in asylrelevantem Ausmass zu rechnen gehabt.</w:t>
      </w:r>
    </w:p>
    <w:p>
      <w:r>
        <w:rPr>
          <w:b/>
        </w:rPr>
        <w:t>E. 4.4</w:t>
      </w:r>
    </w:p>
    <w:p>
      <w:r>
        <w:t>Der Beschwerdeführer seinerseits leitet die ihm drohende Verfolgungsgefahr aus den Vorkommnissen rund um die Demonstrationen vom Juli 1999 ab. Zur Stützung seiner Vorbringen reichte er drei in diesem Zusammenhang stehende Vorladungen ein.</w:t>
      </w:r>
    </w:p>
    <w:p>
      <w:r>
        <w:rPr>
          <w:b/>
        </w:rPr>
        <w:t>E. 4.4.1</w:t>
      </w:r>
    </w:p>
    <w:p>
      <w:r>
        <w:t>Die Vorinstanz führte dazu in der angefochtenen Verfügung aus, die eingereichten Beweismittel seien aufgrund der Resultate einer internen Analyse als Fälschungen zu qualifizieren. Zunächst sei festzuhalten, dass die Vorladungen im Original eingereicht worden seien, obschon diese den betroffenen Personen nicht in dieser Form abgegeben würden. Zudem falle das in der zweiten Vorladung aufgeführte Vorführungsdatum auf einen Feiertag und die Vorladungen beinhalteten falsche beziehungsweise unvollständige Angaben zur Person des Vorgeladenen aber auch zum Ausstellungsort der Vorladungen. Schliesslich entsprächen die aufgeführten Referenznummern nicht den sonst in diesem Zusammenhang üblichen Nummern. Die vom Beschwerdeführer gegen diese Einschätzung im Rahmen des ihm gewährten rechtlichen Gehörs vorgebrachten Einwendungen erachtete das Bundesamt als nicht stichhaltig. So entspreche die Behauptung, Vorladungen würden dem Betroffenen von einem Boten des Gerichts im Original übermittelt, nicht der Realität. Ebenso wenig überzeuge die Erklärung des Beschwerdeführers zur Ansetzung eines Termins auf einen Feiertag, nachdem weder eine besondere Dringlichkeit noch ein besonders sensibles Verfahren vorgelegen habe. Auch hinsichtlich der fehlenden Adresse des Vorgeladenen und der genauen Bezeichnung des Gerichts habe der Beschwerdeführer keine überzeugende Erklärung vorgetragen. Die Einreichung gefälschter Dokumente führe zu einer Beeinträchtigung der Glaubwürdigkeit des Beschwerdeführers. Weiter hielt die Vorinstanz fest, Anlass zu Zweifeln an der Glaubhaftigkeit der Angaben des Beschwerdeführers gebe auch, dass er wohl an seinem Wohn- oder Arbeitsort verhaftet worden wäre, nachdem er sich auf die erste Vorladung nicht gemeldet habe. Zudem seien auch weitere Aussagen, etwa zur dritten involvierten Person, widersprüchlich ausgefallen.</w:t>
      </w:r>
    </w:p>
    <w:p>
      <w:r>
        <w:rPr>
          <w:b/>
        </w:rPr>
        <w:t>E. 4.4.2</w:t>
      </w:r>
    </w:p>
    <w:p>
      <w:r>
        <w:t>Der Beschwerdeführer lässt in der Beschwerdeschrift hinsichtlich der eingereichten Beweismittel zunächst einwenden, auf dem Internet seien verschiedene Beispiele gefunden worden, welche belegten, dass Vorladungen tatsächlich im Original abgegeben würden. Ausserdem fehlten auf dem einen Dokument ebenfalls wichtige persönliche Angaben, wie beispielsweise der Beruf der vorgeladenen Person. In Bezug auf die Vorladung des Beschwerdeführers auf einen Feiertag wird auf Beschwerdeebene eingewendet, politische Verfahren würden ihrer Natur nach häufig im Verborgenen abgewickelt. Nicht auszuschliessen sei im Übrigen, dass das Datum irrtümlicherweise auf einen Feiertag angesetzt worden sei. Auch bezüglich der nicht übereinstimmenden Referenznummern sei von einem Irrtum, mithin von einem Vertauschen der Ziffern 78 und 87 bei der zweiten Vorladung, auszugehen. Weiter hält der Beschwerdeführer daran fest, dass im Iran erst nach der dritten Anhörung mit einer Verhaftung gerechnet werden müsse. Die vom BFM weiter aufgeführten Widersprüche seien als an den Haaren herbeigezogen zu betrachten.</w:t>
      </w:r>
    </w:p>
    <w:p>
      <w:r>
        <w:rPr>
          <w:b/>
        </w:rPr>
        <w:t>E. 4.4.3</w:t>
      </w:r>
    </w:p>
    <w:p>
      <w:r>
        <w:t>Das Bundesverwaltungsgericht gelangt nach Prüfung der Akten insgesamt zum Schluss, dass der Beschwerdeführer ebenfalls nicht glaubhaft zu machen vermag, im Zeitpunkt seiner Ausreise habe für ihn eine ernsthafte Gefahr bestanden, in einem bestimmbaren oder wenigstens eingrenzbaren Zeitpunkt durch die iranischen Behörden in asylrechtlich relevanter Weise belangt zu werden. Hinsichtlich der eingereichten Vorladungen ist zunächst anzumerken, dass nicht nur das Bundesamt, sondern auch andere Quellen, so das "Centre for Iranien Studies (CIS)" und das "Institute for Middle Eastern and Islamic Studies (IMEIS) an der Durham University, davon ausgehen, den vorgeladenen Personen würden nicht die Originale einer Vorladung, sondern deren Kopie ausgehändigt (vgl. ACCORD Anfragebeantwortung vom 23. April 2010, Iran: Strafrechtliche Konsequenzen bei Nichterscheinen vor Gericht, S. 3; abgerufen auf www.ecoi.net am 25.11.2010). Insofern kann die Einreichung der Originalvorladungen - was von den Beschwerdeführenden im Übrigen nicht bestritten wird - als Indiz gegen die Authentizität der Beweismittel erachtet werden. Inwiefern die auf Beschwerdeebene eingereichten Vorladungen aus dem Internet geeignet sein könnten, diese Schlussfolgerung zu relativieren, ist nicht ersichtlich, nachdem es sich dabei von vornherein nur um Abbildungen handeln kann. Ebenso wenig vermögen die Erklärungsversuche hinsichtlich der Vorladung auf einen Feiertag das Gericht vollumfänglich zu überzeugen. Ein Versehen kann zwar nicht vollständig ausgeschlossen werden, erscheint aber doch äusserst unwahrscheinlich. Anderseits lässt sich die Bedeutung, welche der Beschwerdeführer den Vorladungen beimisst (indem er ausführt, bekannt sei, dass Blitzverfahren oder Verfahren hinter geschlossenen Türen abgehalten würden, weshalb die Terminierung auf einen Feiertag nicht erstaune), kaum mit der Annahme vereinbaren, er habe sowieso erst nach der dritten versäumten Vorladung mit einer Verhaftung rechnen müssen. Dass die Adresse des Beschwerdeführers auf den Vorladungen fehlt, erscheint nicht entscheidend, unterstützt jedoch ebenfalls den Eindruck der fehlenden Authentizität der eingereichten Vorladungen. Die Erklärung des Beschwerdeführers, bei der abweichenden Referenznummer seien wohl die entsprechenden Zahlen verwechselt worden, ist zwar durchaus als plausibel zu betrachten. Sie ändert jedoch nichts daran, dass die Zusammensetzung der Referenznummern von der dem Bundesamt bekannten abweicht. Damit sind die vorinstanzlichen Vorbehalte gegenüber der Echtheit der eingereichten Vorladungen - und damit gleichzeitig gegenüber der Glaubwürdigkeit des Beschwerdeführers - als überwiegend begründet zu betrachten, weshalb die Einziehung der Vorladungen durch die Vorinstanz (vgl. Dispositivziff. 6 der angefochtenen Verfügung) zu bestätigen ist. Im Weiteren ist dem Bundesamt auch darin zuzustimmen, dass die konkreten Schilderungen des Beschwerdeführers zu den Vorfällen vom 8. Juli 1999 nicht den Eindruck zu wecken vermögen, es handle sich um die Wiedergabe von selbst Erlebtem. Die Aussagen des Beschwerdeführers zum Kerngeschehen bleiben insgesamt oberflächlich, mithin fehlen insbesondere zu erwartende Details zum eigenen Verhalten (vgl. A 12/16 S. 8). Auch die Flucht aus den Schlafräumen der Universität wurde vom Beschwerdeführer - auch auf entsprechende Nachfrage (vgl. A 12/16 S. 12) - lediglich rudimentär geschildert. Nach dem Gesagten ist für den Zeitpunkt der Ausreise auch seitens des Beschwerdeführers eine begründete Furcht, Opfer einer von den iranischen Behörden ausgehenden asylrelevanten Verfolgung zu werden, zu verneinen.</w:t>
      </w:r>
    </w:p>
    <w:p>
      <w:r>
        <w:rPr>
          <w:b/>
        </w:rPr>
        <w:t>E. 5</w:t>
      </w:r>
    </w:p>
    <w:p>
      <w:r>
        <w:t>Die Beschwerdeführenden bringen zudem vor, das Bundesamt habe ihre Flüchtlingseigenschaft zufolge Vorliegens subjektiver Nachfluchtgründe zu Unrecht verneint.</w:t>
      </w:r>
    </w:p>
    <w:p>
      <w:r>
        <w:rPr>
          <w:b/>
        </w:rPr>
        <w:t>E. 5.1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5.2</w:t>
      </w:r>
    </w:p>
    <w:p>
      <w:r>
        <w:t>Die Beschwerdeführenden reichten bereits im vorinstanzlichen Verfahren ein Dossier zu ihren exilpolitischen Aktivitäten ein. Das Bundesamt bestreitet dieses Engagement der Beschwerdeführenden nicht, kommt aber zum Schluss, sie (die Beschwerdeführenden) erreichten kein Profil, welches die ernsthafte Gefahr von Verfolgungshandlungen im Sinne Art. 54 AsylG beinhalte. Vor der Vorinstanz machten die Beschwerdeführenden zusammengefasst geltend, der Beschwerdeführer betreibe - unter Mitarbeit der Beschwerdeführerin und seines (...) - eine eigene Website mit regimekritischen Inhalt. Im Weiteren reichten sie im Internet publizierte Artikel und diverse Dokumente über ihre Teilnahme an der Generalversammlung der DVF sowie an verschiedenen Kundgebungen ein. Die auf Beschwerdeebene zu den Akten gegebenen Beweismittel umfassen Kopien der Mitgliederausweise der DVF für beide Beschwerdeführenden für das Jahr 2007 sowie für die Beschwerdeführerin für das Jahr 2008 sowie Unterlagen über weitere Teilnahmen an exilpolitischen Aktivitäten, so etwa Sitzungen der DVF aber auch Demonstrationen. Für das Bundesverwaltungsgericht besteht kein Anlass, an der Darstellung der Beschwerdeführenden zu zweifeln.</w:t>
      </w:r>
    </w:p>
    <w:p>
      <w:r>
        <w:rPr>
          <w:b/>
        </w:rPr>
        <w:t>E. 5.3</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5.4</w:t>
      </w:r>
    </w:p>
    <w:p>
      <w:r>
        <w:t>Im Fall der Beschwerdeführenden geht das Gericht nach einer Auswertung des eingereichten Beweismaterials unter Berücksichtigung der übrigen Akten davon aus, dass insgesamt keine subjektiven Nachfluchtgründe bestehen, die bei einer Rückkehr der Beschwerdeführenden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den Beschwerdeführenden unter Berücksichtigung der von ihnen in der Schweiz bis zuletzt ausgeübten exilpolitischen Aktivitäten nicht beigemessen werden. Eine konkrete Gefährdung der Beschwerdeführenden bei einer Rückkehr in den Iran ist deshalb mit überwiegender Wahrscheinlichkeit auszuschliessen.</w:t>
      </w:r>
    </w:p>
    <w:p>
      <w:r>
        <w:rPr>
          <w:b/>
        </w:rPr>
        <w:t>E. 5.4.1</w:t>
      </w:r>
    </w:p>
    <w:p>
      <w:r>
        <w:t>Die Beschwerdeführenden machen in Bezug auf ihre Mitgliedschaft bei der DVF selber nicht geltend, dass ihnen innerhalb der Vereinigung eine besonders exponierte Stellung beziehungsweise eine Führungsfunktion zukommt. Vor diesem Hintergrund lässt die im vorliegenden Verfahren durch die Beweismittel dokumentierte Beteiligung der Beschwerdeführenden an exilpolitischen Aktivitäten - sei es als Teilnehmer an Kundgebungen und Versammlungen, als Verfasser von im Internet beziehungsweise in der Monatszeitschrift des DVF "Kanoun" publizierten Beiträgen oder als Betreiber einer eigenen Website - von vornherein nicht das Gefährdungspotenzial ersehen, welches die Beschwerdeführenden daraus zu ziehen versuchen. Beide Beschwerdeführenden weisen damit nicht das Profil auf, welches den Argwohn der iranischen Sicherheitskräfte im Sinne einer Identifizierung und Fichierung als ernst zu nehmende Regimegegner erweckt haben dürfte.</w:t>
      </w:r>
    </w:p>
    <w:p>
      <w:r>
        <w:rPr>
          <w:b/>
        </w:rPr>
        <w:t>E. 5.4.2</w:t>
      </w:r>
    </w:p>
    <w:p>
      <w:r>
        <w:t>Im Sinne einer Klarstellung bleibt darauf hinzuweisen,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5.4.3</w:t>
      </w:r>
    </w:p>
    <w:p>
      <w:r>
        <w:t>Zusammenfassend ist festzuhalten, dass nicht mit überwiegender Wahrscheinlichkeit davon auszugehen ist, die Beschwerdeführenden müssten im Falle ihrer Rückkehr in den Heimatstaat befürchten, dort ernsthafte Nachteile im Sinne von Art. 3 AsylG zu erleiden. Insbesondere fehlen im vorliegenden Fall jegliche aktenkundige Hinweise darauf, dass im Iran aufgrund der genannten politischen Aktivitäten im Exil gegen sie ein Strafverfahren oder andere behördliche Massnahmen eingeleitet worden sind, was ein Indiz für eine fehlende Verfolgungsgefahr im Heimatland darstellt. In letzter Konsequenz ist hierbei anzumerken,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die Beschwerdeführenden sind auf ihre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der Beschwerdeführenden soweit Notiz genommen haben, dass sie diese als konkrete und ernsthafte Bedrohung für das politische System empfinden würden.</w:t>
      </w:r>
    </w:p>
    <w:p>
      <w:r>
        <w:rPr>
          <w:b/>
        </w:rPr>
        <w:t>E. 5.4.4</w:t>
      </w:r>
    </w:p>
    <w:p>
      <w:r>
        <w:t>Der Vollständigkeit halber ist schliesslich anzumerken, dass Personen aus dem Iran sowohl aufgrund ihrer (illegalen) Ausreise aus ihrem Heimatland als auch wegen der Einreichung eines Asylgesuchs in der Schweiz bei einer Rückkehr in ihre Heimat gemäss gesicherten Erkenntnissen des Bundesverwaltungsgerichts keine asylrechtlich relevanten Nachteile zu befürchten haben (vgl. BVGE 2009/28 E. 7.4.4, mit weiteren Hinweisen).</w:t>
      </w:r>
    </w:p>
    <w:p>
      <w:r>
        <w:rPr>
          <w:b/>
        </w:rPr>
        <w:t>E. 5.5</w:t>
      </w:r>
    </w:p>
    <w:p>
      <w:r>
        <w:t>Nach dem Gesagten ergibt sich, dass vorliegend keine Nachfluchtgründe bestehen, die zur Zuerkennung der Flüchtlingseigenschaft hätten führen können. Die Vorinstanz hat die Asylgesuche der Beschwerdeführenden auch unter diesem Blickwinkel zu Recht abgelehnt.</w:t>
      </w:r>
    </w:p>
    <w:p>
      <w:r>
        <w:rPr>
          <w:b/>
        </w:rPr>
        <w:t>E. 6</w:t>
      </w:r>
    </w:p>
    <w:p>
      <w:r>
        <w:t>Angesichts der aufgezeigten Sachlage erweisen sich die im Rahmen des Beschwerdeverfahrens erhobenen Rügen in allen Punkten als unbegründet. In Würdigung der gesamten Umstände ist im Einklang mit der Vorinstanz festzustellen, dass die Beschwerdeführenden keinen Sachverhalt geltend gemacht haben, der sie zur Anerkennung als Flüchtlinge im Sinne der Definition von Art. 3 AsylG berechtigen würde. Die Ablehnung der Asylgesuche ist demnach zu bestätigen.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Im Iran besteht keine Situation generalisierter Gewalt, die sich noch dazu über das gesamte Staatsgebiet oder weite Teile desselben erstrecken würde. Eine gänzlich unsichere, von bewaffneten Konflikten oder permanent drohenden Unruhen dominierte Lage, aufgrund derer die Beschwerdeführenden sich bei einer Rückkehr unvermeidlich einer konkreten Gefährdung aussetzen würden, besteht mithin nicht.</w:t>
      </w:r>
    </w:p>
    <w:p>
      <w:r>
        <w:rPr>
          <w:b/>
        </w:rPr>
        <w:t>E. 8.4.2</w:t>
      </w:r>
    </w:p>
    <w:p>
      <w:r>
        <w:t>Die - soweit aktenkundig - gesunden Beschwerdeführenden wohnten überwiegend in Teheran, wo sie gemäss ihren eigenen Angaben über weitere Verwandtschaft verfügen. Es ist anzunehmen, dass sie bei einer Rückkehr dorthin ein soziales Netz vorfinden würden. Aufgrund ihrer guten Schulbildung sowie der zwischenzeitlich erworbenen Berufserfahrung ist davon auszugehen, dass sie sich in ihrer Heimat auch in wirtschaftlicher Hinsicht wieder integrieren könnten. Der Vollständigkeit halber bleibt anzumerken, dass der langjährige Aufenthalt der Beschwerdeführenden in der Schweiz und die damit verbundene Integration keine andere Beurteilung der Zumutbarkeit des Wegweisungsvollzuges zulässt.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8.4.3</w:t>
      </w:r>
    </w:p>
    <w:p>
      <w:r>
        <w:t>Nach dem Gesagten erweist sich somit der Vollzug der Wegweisung auch als zumutbar.</w:t>
      </w:r>
    </w:p>
    <w:p>
      <w:r>
        <w:rPr>
          <w:b/>
        </w:rPr>
        <w:t>E. 8.5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Die Beschwerdeführenden liessen zusammen mit der Beschwerde ein Gesuch um Gewährung der unentgeltlichen Prozessführung einreichen, dessen Beurteilung vom Instruktionsrichter mit Zwischenverfügung vom 25. April 2007 auf einen späteren Zeitpunkt verlegt wurde. Gemäss Art. 65 Abs. 1 VwVG befreit die Beschwerdeinstanz nach Einreichung der Beschwerde eine Partei, die nicht über die erforderlichen Mittel verfügt, auf Antrag von der Bezahlung der Verfahrenskosten, sofern ihr Begehren nicht aussichtslos erscheint. Zwar reichten die Beschwerdeführenden zusammen mit der Beschwerdeschrift eine Bestätigung vom 12. März 2007 über ihre Fürsorgeabhängigkeit ein, doch sind beide Ehegatten gemäss den Akten seit dem 1. Oktober 2008 - die Beschwerdeführerin mit Unterbruch - erwerbstätig. Aus diesem Grund kann nicht mehr von deren prozessualen Bedürftigkeit ausgegangen werden. Mangels Erfüllen der kumulativen Voraussetzungen von Art. 65 Abs. 1 VwVG (bedürftig/nicht aussichtslos) ist das Gesuch um Gewährung der unentgeltlichen Rechtspflege abzuweisen.</w:t>
      </w:r>
    </w:p>
    <w:p>
      <w:r>
        <w:rPr>
          <w:b/>
        </w:rPr>
        <w:t>E. 12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