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D-2214/2016 vom 23. Juni 2016</w:t>
      </w:r>
    </w:p>
    <w:p>
      <w:r>
        <w:t>Bundesverwaltungsgericht, 2016-06-23, DE</w:t>
      </w:r>
    </w:p>
    <w:p>
      <w:r>
        <w:rPr>
          <w:b/>
        </w:rPr>
        <w:t xml:space="preserve">Quelle: </w:t>
      </w:r>
      <w:r>
        <w:t>https://mcp.opencaselaw.ch/entscheid/bvger_D-2214_2016</w:t>
      </w:r>
    </w:p>
    <w:p>
      <w:r>
        <w:t>FR: TAF D-2214/2016 du 23 juin 2016</w:t>
      </w:r>
    </w:p>
    <w:p>
      <w:r>
        <w:t>IT: TAF D-2214/2016 del 23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vorab verwiesen werden (vgl. BVGE 2010/57 E.2.2. und 2.3).</w:t>
      </w:r>
    </w:p>
    <w:p>
      <w:r>
        <w:rPr>
          <w:b/>
        </w:rPr>
        <w:t>E. 4.2.2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(vgl.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5.1</w:t>
      </w:r>
    </w:p>
    <w:p>
      <w:r>
        <w:t>Die Vorinstanz begründet die angefochtene Verfügung im Wesentlichen damit, dass die Angaben zur Motivation des Beschwerdeführers, der in seinem Heimatland verbotenen MLKP beizutreten und sich für diese zu engagieren, insgesamt nicht substantiiert, kaum erlebnisgeprägt und realitätsfremd ausgefallen seien. Insbesondere erstaune es, dass er nicht detailliert habe angeben können, welche Ideologien die MLKP vertrete, weshalb er mit dieser sympathisiere und wie die parteiinterne Zeitschrift heisse. Vor dem Hintergrund, dass es sich bei der MLKP um eine in der Türkei verbotene Organisation handle, wäre zu erwarten gewesen, dass er sich eingehend mit seinen Beweggründen, für diese Organisation tätig zu werden, auseinandergesetzt hätte. Da erhebliche Zweifel an seinen politischen Tätigkeiten bestünden, kämen auch bezüglich des geltend gemachten Gerichtsverfahrens erhebliche Zweifel auf, welche durch den Umstand, dass er zunächst keine plausiblen Dokumente zur Untermauerung seiner Vorbringen habe einreichen können, obwohl die türkische Strafprozessordnung grundsätzlich das Akteneinsichtsrecht ab Anklageerhebung vorsehe, noch verstärkt würden (vgl. act. A15, S. 40). Zudem sei nicht nachvollziehbar, weshalb er sich nicht über den Inhalt der Gerichtsakten erkundigt habe, da sich diese gemäss seinen Angaben im Besitz seiner Ehefrau befunden hätten (vgl. act. A12, S. 9). Im Widerspruch zu dieser Angabe stünde seine Angabe, die Dokumente befänden sich beim zuständigen Gericht und müssten noch beschafft werden (vgl. act. A15, S.4). Schliesslich sei die per Fax übermittelte leicht zu fälschende Kopie des eingereichten Urteils vom (...) angesichts der festgestellten Unglaubhaftigkeit seiner Vorbringen nicht geeignet, seine Asylgründe glaubhaft zu machen. Es widerspreche im Übrigen der Logik des Handelns, dass er auf Vorschlag der MLKP sein Heimatland verlassen habe, ohne zu wissen, welche Strafe gegen ihn ergangen sei und was ihm konkret vorgeworfen werde. Zusammengefasst gelinge es ihm nicht, die geltend gemachte Furcht vor Verfolgung glaubhaft zu machen, weshalb er die Flüchtlingseigenschaft nicht erfülle und sein Asylgesuch abzulehnen sei.</w:t>
      </w:r>
    </w:p>
    <w:p>
      <w:r>
        <w:rPr>
          <w:b/>
        </w:rPr>
        <w:t>E. 5.2</w:t>
      </w:r>
    </w:p>
    <w:p>
      <w:r>
        <w:t>In der Rechtsmitteleingabe wird an der Glaubhaftigkeit und asylrechtlichen Relevanz der vom Beschwerdeführer geltend gemachten Verfolgungsvorbringen festgehalten. Aus den Befragungsprotokollen gehe klar hervor, wie er mit der MLKP in Berührung gekommen und wie dieser Kontakt immer intensiver geworden sei (vgl. act. A15, S.10). Sodann habe er genau erklärt, welche politischen Aktivitäten er als Sympathisant "zugunsten der Organisation ausgeführt" habe (vgl. act. A12, S.9f.). Die Behauptung der Vorinstanz, wonach er nicht im Detail seine politischen Aktivitäten habe schildern können, sei nicht nachvollziehbar. Ferner habe er, seit er 2012 ins Visier der Behörden geraten sei, unter falscher Identität gelebt, seine Wohnorte häufig gewechselt und bis auf eine Ausnahme keinen Kontakt zu seiner Familie gehalten, weshalb ihm nicht zum Vorwurf gemacht werden könne, dass er sich nicht über sein Gerichtsverfahren erkundigt habe. Dass er schliesslich keinen Anwalt mit der Wahrung seiner Interessen beauftragt habe, liege daran, dass auch dieser an seiner Situation nichts hätte ändern können. Inzwischen sei er jedoch bestrebt, einen Anwalt zu beauftragen, "damit über das ganze Verfahren Klarheit geschafft" werde. Zusammengefasst gehe aus den Angaben des Beschwerdeführers hervor, dass dieser aufgrund seiner ethnischen Herkunft und politischer Aktivitäten mindestens drei Jahre lang staatlichen Repressionen ausgesetzt gewesen sei. Seine asylrelevanten Vorbringen hielten den Anforderungen an die Glaubhaftigkeit stand, weshalb er in der Schweiz als Flüchtling anzuerkennen und ihm Asyl zu gewähren sei. Aufgrund der gegenwärtigen politischen Lage im Heimatland des Beschwerdeführers - die Kurden würden für den Ausgang der letzten Parlamentswahlen in der Türkei mit einem "brutalen Krieg" bestraft - drohten dem Beschwerdeführer im Falle einer Rückkehr in sein Heimatland Polizeihaft und Folter, weshalb von der Unzumutbarkeit (recte: Unzulässigkeit) des Wegweisungsvollzugs auszugehen und die vorläufige Aufnahme anzuordnen sei. Für die weiteren Ausführungen wird auf die Beschwerdeeingabe vom 11. April 2016 verwiesen.</w:t>
      </w:r>
    </w:p>
    <w:p>
      <w:r>
        <w:rPr>
          <w:b/>
        </w:rPr>
        <w:t>E. 6</w:t>
      </w:r>
    </w:p>
    <w:p>
      <w:r>
        <w:t>In Übereistimmung mit der Vorinstanz kommt das Gericht nach Durchsicht der Akten zum Schluss, dass die Verfolgungsvorbringen des Beschwerdeführers nicht glaubhaft ausgefallen sind, weshalb - um unnötige Wiederholungen zu vermeiden - vorab auf die zutreffenden Ausführungen in der angefochtenen Verfügung verwiesen werden kann (vgl. vorstehend E.5.1 und act. A25). Darüber hinaus ergeben sich aus den Ausführungen des Beschwerdeführers noch weitere Widersprüche und Unklarheiten, welche Gegenstand der nachfolgenden Ausführungen sind. Beispielsweise fallen die Schilderungen über die Umstände der angeblichen Kenntnissetzung durch Vertreter der Strafverfolgungsbehörden über die Gerichtsverhandlung beziehungsweise Verurteilung mittels Strafbefehl realitätsfremd und widersprüchlich aus. Hierzu führte er aus, seine Ehefrau sei darüber informiert worden, dass er mittels Strafbefehl zu einer politisch bedingten Strafe verurteilt worden sei und sich der Strafbefehl auf dem Posten befinde. Die Gerichtsverhandlung sei für den nächsten Tag angesetzt worden (act. A12, S.8f.). Unbesehen von der Tatsache, dass eine Gerichtsverhandlung einer Verurteilung üblicherweise vorausgeht und nicht wie geschildert umgekehrt, ist kaum anzunehmen, dass die Ehefrau eines Sympathisanten der MLKP, welche von der türkischen Regierung als terroristische Vereinigung eingestuft und bekämpft wird, über die Verurteilung ihres Ehemann unterrichtet würde, da die Strafverfolgungsbehörden damit rechnen müssten, dass sich der Verurteilte seiner Strafe - wie vorliegend behauptet - durch Flucht entziehen wird. Gänzlich unglaubhaft ist denn auch die Behauptung, er habe eine sich im Besitz seiner Ehefrau befindende Vorladung nicht beigebracht, weil er "es nicht für nötig" befunden habe, da eine solche offensichtlich ein geeignetes Beweismittel zur Untermauerung seiner Asylvorbringen dargestellt hätte (vgl. act. A15, F50). Im Zusammenhang mit seiner Ehefrau beziehungsweise Familie ist ferner festzuhalten, dass er anlässlich der BzP noch behauptet hat, seit seinem Untertauchen im Jahr 2012 keinen Kontakt mit ihr gehabt zu haben, während er im Rahmen der Anhörung einen Besuch im Jahr 2013 erwähnt hat (vgl. act. A12, S.7 und act. 15, F23). Ebenfalls nicht in Übereinstimmung zu bringen sind seine Ausführungen, wonach er seit seinem Untertauchen im Jahr 2012 unter falscher Identität gelebt habe, während die Organisation erst für seine Ausreise im Jahr 2015 gefälschte Ausweispapiere organisiert und er zu diesem Zweck seine auf ihn lautende Identitätskarte abgegeben habe (vgl. Beschwerdeeingabe, S.6 und act. A6, S.6). Naheliegender hätte er ab dem Zeitpunkt der Annahme der neuen Identität seine ID abgegeben und mit gefälschten Ausweispapieren ausgestattet werden müssen. Dass er seine neue Identität im vorinstanzlichen Verfahren unerwähnt liess, wirft noch weitere Fragen auf. Ohnehin erscheint die geschilderte Vorgehensweise der MLKP-Vertreter unlogisch. Zwar seien sie derart um seine Unversehrtheit besorgt gewesen, dass sie ihn ab seinem Untertauchen versteckt, finanziert und ihm zur Flucht aus seinem Heimatland verholfen hätten. Bei der Beschaffung von Dokumenten, welche seine Verfolgungsvorbringen allenfalls zu belegen vermocht hätten - die Dokumente sollen sich bei seiner Frau befunden haben und wären folglich leicht erhältlich gewesen - sollen sie hingegen eine Passivität an den Tag gelegt haben, welche sich mit dem geschilderten Engagement nicht in Übereinstimmung bringen lässt. Zusammengefasst ist es dem Beschwerdeführer nicht gelungen, seine Asylvorbringen glaubhaft zu machen. An dieser Einschätzung vermögen weder das eingereichte Urteil vom (...) noch die Ausführungen in der Beschwerdeeingabe, welche sich grösstenteils in Zitaten des Beschwerdeführers und allgemeinen Ausführungen zur Situation der Kurden in der Türkei erschöpfen, nichts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7.3.2</w:t>
      </w:r>
    </w:p>
    <w:p>
      <w:r>
        <w:t>Der Vollzug der Wegweisung durch Rückschaffung in die Türkei ist unter dem Aspekt von Art. 5 AsylG rechtmässig, weil der Beschwerdeführer - wie bereits festgestellt wurde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Die allgemeine Lage in der Türkei ist weder von Bürgerkrieg noch von allgemeiner Gewalt gekennzeichnet, so dass der Vollzug der Wegweisung dorthin grundsätzlich zumutbar erscheint.</w:t>
      </w:r>
    </w:p>
    <w:p>
      <w:r>
        <w:rPr>
          <w:b/>
        </w:rPr>
        <w:t>E. 7.4.3</w:t>
      </w:r>
    </w:p>
    <w:p>
      <w:r>
        <w:t>Schliesslich sind auch sonst keine konkreten Anhaltspunkte gegeben, die darauf schliessen liessen, der Beschwerdeführer sei bei einer Rückkehr in die Türkei einer konkreten Gefährdung im Sinne von Art. 83 Abs. 4 AuG ausgesetzt. Seine Ehefrau und die gemeinsamen Kinder wohnen noch in der ehelichen Wohnung, in welche er nach seiner Rückkehr zurückkehren kann. Dank seiner jahrelangen Berufserfahrung im Bausektor dürfte ihm der berufliche Wiedereinstieg innert nützlicher Frist gelingen, weshalb es ihm möglich sein sollte, bald ein wirtschaftliches Auskommen zu finden. Sollte dieses Unterfangen mehr Zeit in Anspruch nehmen als vermutet, ist anzunehmen, dass ihm seine Verwandten im Heimatland finanzielle Hilfestellung leisten werden. Er braucht somit nicht zu befürchten, nach seiner Rückkehr in eine existenzielle Notlage zu geraten. Nach dem Gesagten ist der Vollzug der Wegweisung des Beschwerdeführers unter allen massgeblichen Gesichtspunkten auch als zumutbar zu bezeichnen.</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und dem geleisteten Kostenvorschuss zu entnehmen.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