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D-2210/2014 vom 13. August 2014</w:t>
      </w:r>
    </w:p>
    <w:p>
      <w:r>
        <w:t>Bundesverwaltungsgericht, 2014-08-13, DE</w:t>
      </w:r>
    </w:p>
    <w:p>
      <w:r>
        <w:rPr>
          <w:b/>
        </w:rPr>
        <w:t xml:space="preserve">Quelle: </w:t>
      </w:r>
      <w:r>
        <w:t>https://mcp.opencaselaw.ch/entscheid/bvger_D-2210_2014</w:t>
      </w:r>
    </w:p>
    <w:p>
      <w:r>
        <w:t>FR: TAF D-2210/2014 du 13 août 2014</w:t>
      </w:r>
    </w:p>
    <w:p>
      <w:r>
        <w:t>IT: TAF D-2210/2014 del 13 agosto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5.1</w:t>
      </w:r>
    </w:p>
    <w:p>
      <w:r>
        <w:t>Das BFM kam in der angefochtenen Verfügung vom 24. März 2014 zum Schluss, dass die Voraussetzungen für eine Familienzusammenführung nicht gegeben seien. Nach Prüfung der Akten erachtet das Bundesverwaltungsgericht diese Einschätzung als rechtmässig. Die Ausführungen in der Beschwerdeeingabe vermögen zu keiner anderen Beurteilung zu führen.</w:t>
      </w:r>
    </w:p>
    <w:p>
      <w:r>
        <w:rPr>
          <w:b/>
        </w:rPr>
        <w:t>E. 5.2</w:t>
      </w:r>
    </w:p>
    <w:p>
      <w:r>
        <w:t>Der Beschwerdeführer bestreitet in keiner Art und Weise, wonach er nicht mit seiner Ehefrau zusammengelebt habe. Als Grund dafür wird unter anderem die Leistung des Militärdienstes sowie der schlechte Verdienst als Soldat angeführt, die ein gemeinsames Leben unter einem Dach verunmöglicht hätten. Indes habe er sie während des Urlaubs vom Militärdienst immer besucht; in der urlaubslosen Zeit habe er via Telefon und Briefen mit ihr kommuniziert. Den Akten ist nicht zu entnehmen, dass die mehrtägigen Fluchtvorbereitungen, die ihm im Januar 2010 den Grenzübertritt von Eritrea in den Sudan erlaubten, in Absprache oder in der Benachrichtigung seiner Ehefrau stattgefunden hätten (A 3 S. 5 ff. und A 9 S. 14 f. gemäss Aktenverzeichnis BFM). Ferner verliess die Ehefrau gemäss Angaben des Beschwerdeführers Eritrea vermutungsweise im Jahre 2011 (A 9 S. 7). Der Einwand des Beschwerdeführers, ihm seien viele Fälle von eritreischen Asylbewerbern bekannt, deren Gesuch um Familienzusammenführung gutgeheissen worden sei, obwohl sie als Soldaten ebenso wie er ihre Ehefrau nur während des Urlaubes hätten sehen können, ist unbehelflich, weil mangels konkreter Angaben nicht ersichtlich ist, inwiefern der Grundsatz der rechtsgleichen Behandlung verletzt sein könnte. Den Vorwurf des BFM in der angefochtenen Verfügung, wonach er auf keine Art und Weise in der Lage sei, seine Eheschliessung mit rechtsgenüglichen Dokumenten zu belegen, vermag der Beschwerdeführer auch im Rahmen des Beschwerdeverfahrens nicht zu beseitigen. Mit Instruktionsverfügung vom 13. Mai 2014 wurde dem Beschwerdeführer für die Beibringung von in Aussicht gestellten Dokumenten (Belege für die Eheschliessung; Bst. G. hiervor) Frist eingeräumt. Mit Instruktionsverfügung vom 19. Juni 2014 wurde unter anderem mit Verweis auf Art. 32 Abs. 2 VwVG das von ihm beantragte Fristerstreckungsgesuch abgewiesen (vgl. Bst. H. und I. hiervor). Zwischenzeitlich fanden ebenfalls keine entsprechenden Beweismittel Eingang in die Akten, obschon deren Beschaffung zumutbar und möglich ist, zumal er während seines Asylverfahrens in der Lage war, Dokumente aus seinem Heimatland zu beschaffen (vgl. in diesem Zusammenhang auch A 9 S. 2 und 9). Die nachteiligen Konsequenzen der Beweislosigkeit in diesem Zusammenhang sind demnach vom Beschwerdeführer zu tragen.</w:t>
      </w:r>
    </w:p>
    <w:p>
      <w:r>
        <w:rPr>
          <w:b/>
        </w:rPr>
        <w:t>E. 5.3</w:t>
      </w:r>
    </w:p>
    <w:p>
      <w:r>
        <w:t>Weiter wurde mit dem Gesuch um Familienasyl weder auf erstinstanzlicher noch auf Beschwerdeebene eine Gefährdung von B. _______ geltend gemacht, so dass auch nicht von einem Asylgesuch aus dem Ausland für die betreffende Person ausgegangen werden muss (vgl. BVGE 2007/19 E. 3.3 S. 224 f.). Mit der Änderung des Asylgesetzes vom 28. September 2012 - von der Bundesversammlung als dringlich erklärt und am 29. September 2012 in Kraft getreten - ist die Möglichkeit der Einreichung eines Asylgesuches aus dem Ausland ohnehin weggefallen (vgl. BBl 2012 5359). Gemäss Übergangsbestim­mung zur Änderung vom 28. September 2012 gelten für Asylgesuche, die im Ausland vor dem Inkrafttreten der Änderung vom 28. September 2012 gestellt worden sind, die Artikel 12, 19, 20, 41 Abs. 2, 52 und 68 in der bisherigen Fassung des Gesetzes. Das Gesuch um Familienzusammenführung wurde am 18. Oktober 2013 und mithin nach Inkrafttreten der Änderung des Asylgesetzes eingereicht, weshalb auch aus diesem Grund kein Asylgesuch aus dem Ausland vorliegen kann.</w:t>
      </w:r>
    </w:p>
    <w:p>
      <w:r>
        <w:rPr>
          <w:b/>
        </w:rPr>
        <w:t>E. 5.4</w:t>
      </w:r>
    </w:p>
    <w:p>
      <w:r>
        <w:t>Zusammenfassend ist festzuhalten, dass die Voraussetzungen für den Einschluss von B. _______ in das Familienasyl gemäss Art. 51 Abs. 1 AsylG respektive die Bewilligung ihrer Einreise in die Schweiz gemäss Art. 51 Abs. 4 AsylG nicht erfüllt sind. Das BFM hat somit deren Einreise in die Schweiz sowie das Familienasylgesuch zu Recht abgelehnt.</w:t>
      </w:r>
    </w:p>
    <w:p>
      <w:r>
        <w:rPr>
          <w:b/>
        </w:rPr>
        <w:t>E. 6</w:t>
      </w:r>
    </w:p>
    <w:p>
      <w:r>
        <w:t>Aus diesen Erwägungen ergibt sich, dass die Verfügung des BFM vom 24. März 2014 Bundesrecht nicht verletzt (Art. 106 AsylG). Die Beschwerde ist demnach abzuweisen.</w:t>
      </w:r>
    </w:p>
    <w:p>
      <w:r>
        <w:rPr>
          <w:b/>
        </w:rPr>
        <w:t>E. 7</w:t>
      </w:r>
    </w:p>
    <w:p>
      <w:r>
        <w:t>Mit Instruktionsverfügung vom 13. Mai 2014 wurde der Entscheid über das Gesuch um Gewährung der unentgeltlichen Rechtspflege im Sinne von Art. 65 Abs. 1 VwVG auf einen späteren Zeitpunkt verschoben. Wie oben dargelegt waren den Beschwerdebegehren indes keine ernsthaften Erfolgsaussichten beschieden, weshalb das entsprechende Gesuch - unabhängig von der Frage der prozessualen Bedürftigkeit des Beschwerdeführers - abzuwei­sen ist. Die Kosten des Verfahrens sind somit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