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D-220/2014 vom 21. Oktober 2014</w:t>
      </w:r>
    </w:p>
    <w:p>
      <w:r>
        <w:t>Bundesverwaltungsgericht, 2014-10-21, DE</w:t>
      </w:r>
    </w:p>
    <w:p>
      <w:r>
        <w:rPr>
          <w:b/>
        </w:rPr>
        <w:t xml:space="preserve">Quelle: </w:t>
      </w:r>
      <w:r>
        <w:t>https://mcp.opencaselaw.ch/entscheid/bvger_D-220_2014</w:t>
      </w:r>
    </w:p>
    <w:p>
      <w:r>
        <w:t>FR: TAF D-220/2014 du 21 octobre 2014</w:t>
      </w:r>
    </w:p>
    <w:p>
      <w:r>
        <w:t>IT: TAF D-220/2014 del 21 ottobre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(BVGE 2009/50 E. 10.2 S. 734 ff., BVGE 2008/24 E. 7.2 S. 356 f). Der Untersuchungsgrundsatz hat zur Folge, dass das BFM zur richtigen und vollständigen Ermittlung und Feststellung des rechtserheblichen Sachverhalts verpflichtet ist und auch nach allen Elementen zu forschen hat, die zugunsten der asylsuchenden Person sprechen. 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5.1</w:t>
      </w:r>
    </w:p>
    <w:p>
      <w:r>
        <w:t>Der angefochtene Entscheid des BFM wird den genannten Kriterien nicht in der erforderlichen Weise gerecht. Die Vorinstanz beschränkt sich darauf, den rechtserheblichen Sachverhalt in wenigen Zeilen wiederzugeben. Im Erwägungsteil wird insbesondere auf die erfolgten Abklärungen der Botschaft (...) verwiesen. Im Schreiben, mit welchem am 22. November 2013 und mithin mehr als zweieinhalb Jahre nach der am 1. März 2011 beim BFM eingetroffenen Botschaftsantwort das rechtliche Gehör gewährt wurde, findet sich unter anderem folgende Passage: "Die Anfrage des BFM und der entsprechende Bericht der Schweizerischen Vertretung vom Klicken Sie hier, um ein Datum einzugeben. enthalten Angaben...". Unbesehen dieser textlichen Fehlleistungen im Verfahren ist die "Begründung" ausgesprochen kurz ausgefallen. Die Erwägung, "Nur am Rand sei vermerkt, dass die Nachforschungsergebnisse des BFM sich auch mit Ihren Aussagen stücken; beispielsweise erklärten Sie, Sie wüssten nicht viel über die Partei, für die Sie angaben, politisch aktiv zu sein", wird den Aussagen des Beschwerdeführers nicht gerecht. Im Rahmen der Anhörung war er jedenfalls in der Lage, die Parteiarbeit zumindest ansatzweise substanziiert zu schildern und die Namen mehrerer (ehemaliger) Führungsmitglieder seiner Partei korrekt anzugeben (A 7/13 Antworten 18 ff.). Aus den sehr knappen vor­instanzlichen Erwägungen geht ausserdem nicht schlüssig hervor, ob bereits das politische Engagement des Beschwerdeführers in Syrien als solches oder das Engagement in der geltend gemachten Form oder letztlich nur die behördliche Suche für unglaubhaft erachtet wird (vgl. S. 3 des angefochtenen Entscheids).</w:t>
      </w:r>
    </w:p>
    <w:p>
      <w:r>
        <w:rPr>
          <w:b/>
        </w:rPr>
        <w:t>E. 5.2</w:t>
      </w:r>
    </w:p>
    <w:p>
      <w:r>
        <w:t>Zu den Abklärungen der Botschaft, welche offenbar noch vor Kriegs-ausbruch erfolgten, ist generell Folgendes festzuhalten (vgl. dazu D-4731/2011 vom 20. Juli 2011 E. 4.3): Das Bundesverwaltungsgericht hat im Allgemeinen keinen Anlass, die Seriosität der Bemü­hungen der damit betrauten Person(en) in Frage zu stellen. In Anbetracht der Struktur des (damaligen) syrischen Geheimdienstapparates kön­nen sich indes allenfalls Zweifel daran ergeben, ob Ahndungsmassnah­men sämtlicher potenzieller Verfolger wirklich mit hinrei­chender Schlüssigkeit abgeklärt werden können beziehungsweise konnten (vgl. dazu Schweize­rische Flüchtlingshilfe [SFH], Syrien: Zuverlässigkeit von Bot­schaftsabklärungen: "von den Behörden gesucht", Bern, 7. September 2010). Vorliegend wurde in der Botschaftsantwort unter anderem festgehal­ten, der Beschwerdeführer "n'est pas recherchés par les autorités syriennes". Im erwähnten SFH-Be­richt wird aber darauf hingewiesen, dass die Formulierung "von den Behör­den nicht gesucht" gewisse Fragen aufwerfe respektive nicht beantwor­te (ebd., S. 5 f.: wurde auch bei den Geheimdiensten abge­klärt? Heisst eine Suche "Zur Verhaftung ausgeschrieben" oder auch "un­ter Beobachtung stehend"? Gibt es unter Umständen mehrere Gesuchten-Listen?). Hinzu kommt vorliegend, dass die Botschaftsantwort ausge­sprochen kurz ausgefallen ist. So wird ohne nähere Angaben erklärt, die fragliche Person werde durch die syrischen Behörden nicht gesucht. Dabei wird weder erläutert, bei welchen Behörden nachgeforscht wurde, noch ist wie erwähnt klar, was genau mit dem Begriff "recherché" gemeint ist. Derar­tige rudimentäre Auskünfte mögen allenfalls genügen, wenn den Akten kei­nerlei konkrete Hinweise auf eine asylrelevante Verfolgung durch die Be­hörden des Heimatlandes zu entnehmen sind (vgl. dazu D-3608/2010 vom 29. September 2010). Eine solche Situation ist indes zu verneinen. Allein durch die weiteren Feststellungen in der Antwort, er sei Passbesitzer und habe Syrien am (...) September 2009 auf dem Landweg verlassen, kann nicht auf fehlende Hinweise geschlossen werden, da die genauen Umstände des Grenzübertritts allenfalls verbunden mit Bestechung beziehungsweise die Strukturierung der dort präsenten oder eben nicht präsenten beziehungsweise wegen des zu diesem Zeitpunkt geltend gemachten regen Grenzverkehrs eher laxen Sicherheitskräfte wiederum im Dunkeln bleiben. Anzufügen ist, dass der Beschwerdeführer angab, der Grenzübertritt mit Hilfe des Schleppers habe erst beim dritten Versuch geklappt (A 1/10 S. 7; A 7/13 Antwort 10). Schliesslich kommt erschwerend dazu, dass es das BFM unterliess, den eingereichten syrischen Haftbefehl im Entscheid zu würdigen. Es leuchtet zwar ein, dass sich bei einem Dokument, welches (auch) als Beleg für einen gemäss Sichtweise des BFM unglaubhaften Sachverhalt eingereicht wurde, Fragen zur Authentizität und zum Beweiswert stellen. Die erforderliche diesbezügliche Auseinandersetzung kann der Entscheidbegründung der Vorinstanz aber in keiner Weise entnommen werden. Auch im Rahmen des Schriftenwechsels ging sie nicht darauf ein.</w:t>
      </w:r>
    </w:p>
    <w:p>
      <w:r>
        <w:rPr>
          <w:b/>
        </w:rPr>
        <w:t>E. 5.3</w:t>
      </w:r>
    </w:p>
    <w:p>
      <w:r>
        <w:t>Das BFM hat mithin den rechtserheblichen Sachverhalt nicht hinreichend abgeklärt und die Begründungspflicht verletzt. Zur erforderlichen weiteren Sachverhaltsabklärung, welche sich auch mit dem am 28. April 2014 nachgereichten Dokument zu befassen haben wird, ist festzuhalten, dass sich im Verlaufe des Jahres 2011 und mithin nach den Botschaftsabklärungen in Syrien ein nahezu flächendeckender Bürgerkrieg mit verschiedenen Beteiligten (staatliche Streitkräfte, staatsnahe Milizen, oppositionelle Kräfte und kriegführende Gruppen) mit unterschiedlichsten politischen, ethnischen, religiösen und wirtschaftlichen Interessenausrichtungen und sich teilweise verändernden Verbindungen entwickelt hat, der bis zum heutigen Zeitpunkt andauert, und dessen Fort- und Ausgang weiterhin nicht vorhersehbar ist. Die Bürgerkriegsereignisse haben nach anfänglicher Verschonung der nordöstlichen, hauptsächlich von Kurden bewohnten Gebiete auch diesen Landesteil erfasst, wobei die Kurden politisch gespalten sind, unterschiedliche Partikularinteressen verfolgen und dementsprechend verschiedene und wechselnde Allianzen auch in militärischer Hinsicht eingehen (vgl. BVGE E-5618/2010 vom 5. Dezember 2013). Im Hinblick auf das Bestehen objektiver Nachfluchtgründe könnten diese Ereignisse für den kurdischen Beschwerdeführer durchaus rechtserhebliches Potenzial bezüglich der Beurteilung seiner Flüchtlingseigenschaft aufweisen.</w:t>
      </w:r>
    </w:p>
    <w:p>
      <w:r>
        <w:rPr>
          <w:b/>
        </w:rPr>
        <w:t>E. 6.1</w:t>
      </w:r>
    </w:p>
    <w:p>
      <w:r>
        <w:t>Zusammenfassend ergibt sich, dass der angefochtene Entscheid un­ter Missachtung wesentlicher Gehörsansprüche des Beschwerdeführers zu­stande gekommen ist.</w:t>
      </w:r>
    </w:p>
    <w:p>
      <w:r>
        <w:rPr>
          <w:b/>
        </w:rPr>
        <w:t>E. 6.2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schon deshalb nicht in Betracht, weil das BFM im Rahmen des Schriftenwechsels in keiner Weise auf relevante und zutreffende Beschwerderügen eingegangen ist.</w:t>
      </w:r>
    </w:p>
    <w:p>
      <w:r>
        <w:rPr>
          <w:b/>
        </w:rPr>
        <w:t>E. 7</w:t>
      </w:r>
    </w:p>
    <w:p>
      <w:r>
        <w:t>Die angefochtene Verfügung ist deshalb aufzuheben und die Sache im Sinne der Erwägungen und in Gutheissung des sich aus den Rügen erge­benden Kassationsantrags an die Vorinstanz zurückzuwei­sen. Das BFM ist gehalten, ge­stützt auf den vollständig festgestellten rechtserheblichen Sachverhalt einen neuen Ent­scheid mit rechtsgenüglicher Begründung zu fällen.</w:t>
      </w:r>
    </w:p>
    <w:p>
      <w:r>
        <w:rPr>
          <w:b/>
        </w:rPr>
        <w:t>E. 8.1</w:t>
      </w:r>
    </w:p>
    <w:p>
      <w:r>
        <w:t>Bei diesem Ausgang des Verfahrens sind keine Verfahrenskosten aufzuerlegen (Art. 63 Abs. 1 VwVG i.V.m. Art. 37 VGG).</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hat für dieses Verfahren keine Kostennote zu den Akten gereicht. Auf die beantragte Nachforderung einer solchen kann indes verzichtet werden, da sich die Vertretungskosten aufgrund der für das Verfahren ausschlaggebenden Akten zuverlässig abschätzen lassen. Demnach ist die Parteientschädigung unter Berücksichtigung aller massgeblicher Faktoren auf insgesamt Fr. 1'500.- (inkl. Allfällige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