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D-2209/2014 vom 22. Juli 2015</w:t>
      </w:r>
    </w:p>
    <w:p>
      <w:r>
        <w:t>Bundesverwaltungsgericht, 2015-07-22, DE</w:t>
      </w:r>
    </w:p>
    <w:p>
      <w:r>
        <w:rPr>
          <w:b/>
        </w:rPr>
        <w:t xml:space="preserve">Quelle: </w:t>
      </w:r>
      <w:r>
        <w:t>https://mcp.opencaselaw.ch/entscheid/bvger_D-2209_2014</w:t>
      </w:r>
    </w:p>
    <w:p>
      <w:r>
        <w:t>FR: TAF D-2209/2014 du 22 juillet 2015</w:t>
      </w:r>
    </w:p>
    <w:p>
      <w:r>
        <w:t>IT: TAF D-2209/2014 del 22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beziehungsweise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der Vorinstanz,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etwa Walter Stöckli, Asyl, in: Peter Uebersax/Beat Rudin/ 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w:t>
      </w:r>
    </w:p>
    <w:p>
      <w:r>
        <w:rPr>
          <w:b/>
        </w:rPr>
        <w:t>E. 4.3</w:t>
      </w:r>
    </w:p>
    <w:p>
      <w:r>
        <w:t>Dieser Gesichtspunkt ist im vorliegenden Fall insofern von Bedeutung, als sich im Heimatstaat des Beschwerdeführers, Syrien, die politische und menschenrechtliche Lage seit dessen Ausreise am 20. März 2012 in erheblicher Weise verändert hat. Syrien befindet sich zum heutigen Zeitpunkt in einem Kriegszustand, der das gesamte Land umfasst. Die entsprechende Lage wurde durch das Bundesverwaltungsgericht im Rahmen zweier asylrechtlicher Koordinationsentscheide ausführlich gewürdigt (vgl. Urteil D-5553/2013 vom 18. Februar 2015 E. 6.2 [zur Publikation vorgesehen] sowie Urteil D-5779/2013 vom 25. Februar 2015 E. 5.3, jeweils mit weiteren Nachweisen).</w:t>
      </w:r>
    </w:p>
    <w:p>
      <w:r>
        <w:rPr>
          <w:b/>
        </w:rPr>
        <w:t>E. 4.4</w:t>
      </w:r>
    </w:p>
    <w:p>
      <w:r>
        <w:t>Der Beschwerdeführer macht im Wesentlichen geltend, er habe in den Monaten vor seiner Ausreise aus Syrien Schwierigkeiten mit den dortigen staatlichen Sicherheitskräften gehabt. So sei er in seinem Heimatort B._______ einmal nach einer Demonstration durch einen Angehörigen des staatlichen Sicherheitsdiensts mit dem Auto verfolgt und bedrängt worden. Zudem sei er durch einen Angehörigen des Sicherheitsdiensts persönlich davor gewarnt worden, sich weiterhin an Demonstrationen zu beteiligen. Angesichts dieser Vorbringen vermag sich zunächst die Frage zu stellen, ob mit Blick auf die Erlebnisse des Beschwerdeführers in der Vergangenheit überhaupt von ernsthaften Nachteilen im Sinne von Art. 3 AsylG gesprochen werden kann. Indessen kann dies aufgrund der nachfolgenden Erwägungen offen gelassen werden.</w:t>
      </w:r>
    </w:p>
    <w:p>
      <w:r>
        <w:rPr>
          <w:b/>
        </w:rPr>
        <w:t>E. 4.5</w:t>
      </w:r>
    </w:p>
    <w:p>
      <w:r>
        <w:t>Zu den erwähnten Lageveränderungen in Syrien gehört unter anderem auch, dass die Heimatregion des Beschwerdeführers, der Distrikt al-Qamishli in der Provinz al-Hasakah, zum heutigen Zeitpunkt zu einem bedeutenden Teil von der syrisch-kurdischen Partei PYD und deren bewaffneten Organisation YPG kontrolliert wird, während sich die Sicherheitskräfte des staatlichen syrischen Regimes in gewissem Ausmass zurückgezogen haben. Der Beschwerdeführer selbst gab anlässlich seiner Anhörungen zu Protokoll, bereits kurze Zeit nach seiner Ausreise hätten die staatlichen syrischen Behörden die Gegend von B._______ verlassen, und nun seien dort die PKK, die PYD und die YPG für die Sicherheit und Ordnung zuständig. Die veränderte Situation in Syrien wirkt sich auf die Heimatregion des Beschwerdeführers somit, soweit im vorliegenden Zusammenhang von Belang, in erster Linie dadurch aus, dass das staatliche syrische Regime seine Kontrolle über dieses Gebiet verloren hat. Dabei ist die Lage zwar keineswegs als stabil zu bezeichnen (vgl. dazu die Urteile D-5553/2013 E. 6.7.5.3 sowie D-5779/2013 E. 5.9.3). Gleichwohl ist es unter den gegebenen Umständen und unter Berücksichtigung der vergleichsweise geringen Probleme, die der Beschwerdeführer mit den staatlichen Behörden in der Vergangenheit hatte, als unwahrscheinlich zu bezeichnen, dass er zum heutigen Zeitpunkt in seiner Heimatregion seitens des syrischen Regimes asylrelevante Verfolgungsmassnahmen zu befürchten hätte.</w:t>
      </w:r>
    </w:p>
    <w:p>
      <w:r>
        <w:rPr>
          <w:b/>
        </w:rPr>
        <w:t>E. 4.6</w:t>
      </w:r>
    </w:p>
    <w:p>
      <w:r>
        <w:t>Weiter ist anzumerken, dass der Beschwerdeführer wenn auch nur am Rand erwähnte, in seiner Heimatregion habe es Kampfhandlungen mit der islamistischen Terrororganisation Jabhat al-Nusra gegeben. Jedoch machte er in keiner Weise geltend, er selbst sei durch die genannte Organisation bedroht worden. Es erübrigt sich daher, nach einer allfälligen asylrechtlichen Relevanz einer Bedrohung durch die genannte Organisation zu fragen. Auch die sonstigen Vorbringen, so betreffend Vorkommnisse in der syrischen Armee während seiner militärischen Dienstpflicht in den Jahren 2009 bis 2011 sowie hinsichtlich einer Schlägerei mit arabischen Jugendlichen, sind offensichtlich aus asylrechtlicher Sicht nicht von Belang.</w:t>
      </w:r>
    </w:p>
    <w:p>
      <w:r>
        <w:rPr>
          <w:b/>
        </w:rPr>
        <w:t>E. 4.7</w:t>
      </w:r>
    </w:p>
    <w:p>
      <w:r>
        <w:t>Aus dem Gesagten ergibt sich, dass das BFM zutreffenderweise zur Einschätzung gelangt ist, die Vorbringen des Beschwerdeführers seien asylrechtlich nicht relevant. Die Vorinstanz hat folglich das Asylgesuch zu Recht abgelehnt.</w:t>
      </w:r>
    </w:p>
    <w:p>
      <w:r>
        <w:rPr>
          <w:b/>
        </w:rPr>
        <w:t>E. 4.8</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4.9</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21. März 2014 gestützt auf Art. 83 Abs. 4 des Ausländergesetzes (AuG, SR 142.20) im Rahmen der Anordnung der vorläufigen Aufnahme wegen Unzumutbarkeit des Vollzugs der Wegweisung berücksichtigt wurde.</w:t>
      </w:r>
    </w:p>
    <w:p>
      <w:r>
        <w:rPr>
          <w:b/>
        </w:rPr>
        <w:t>E. 5</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w:t>
      </w:r>
    </w:p>
    <w:p>
      <w:r>
        <w:rPr>
          <w:b/>
        </w:rPr>
        <w:t>E. 6</w:t>
      </w:r>
    </w:p>
    <w:p>
      <w:r>
        <w:t>Bei diesem Ausgang des Verfahrens sind dessen Kosten dem Be-schwerdeführer aufzuerlegen (Art. 63 Abs. 1 VwVG). Die Kosten werden auf Fr. 600.- festgesetzt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