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D-2199/2020 vom 20. März 2020</w:t>
      </w:r>
    </w:p>
    <w:p>
      <w:r>
        <w:t>Bundesverwaltungsgericht, 2020-03-20, DE</w:t>
      </w:r>
    </w:p>
    <w:p>
      <w:r>
        <w:rPr>
          <w:b/>
        </w:rPr>
        <w:t xml:space="preserve">Quelle: </w:t>
      </w:r>
      <w:r>
        <w:t>https://mcp.opencaselaw.ch/entscheid/bvger_D-2199_2020_d20200320</w:t>
      </w:r>
    </w:p>
    <w:p>
      <w:r>
        <w:t>FR: TAF D-2199/2020 du 20 mars 2020</w:t>
      </w:r>
    </w:p>
    <w:p>
      <w:r>
        <w:t>IT: TAF D-2199/2020 del 20 marzo 2020</w:t>
      </w:r>
    </w:p>
    <w:p>
      <w:pPr>
        <w:pStyle w:val="Heading2"/>
      </w:pPr>
      <w:r>
        <w:t>Regeste</w:t>
      </w:r>
    </w:p>
    <w:p>
      <w:r>
        <w:t>Asyl und Wegweisung | Asyl und Wegweisung; Verfügung des SEM vom 20.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D-2199/2020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Das Urteil in vorliegender Sache ergeht koordiniert mit demjenigen der Schwester der Beschwerdeführerin (D-2200/2020) mit dem gleichen Da- tum und demselben Spruchkörper. Der Antrag auf Vereinigung der beiden Verfahren wird abgewiesen.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 subeventualiter die Rückweisung der Sache zwecks weiterer Sachverhaltsabklärung und zur Neubeurteilung an die Vorinstanz beantragt sowie die Verletzung des rechtlichen Gehörs, des Un- tersuchungsgrundsatzes und der Begründungspflicht gerügt. Formelle Rü- gen sind vorab zu prüfen, da sie geeignet sein könnten, eine Kassation der</w:t>
      </w:r>
    </w:p>
    <w:p>
      <w:r>
        <w:t>D-2199/2020 Seite 7 vorinstanzlichen Verfügung zu bewirken (vgl. KÖLZ/HÄNER/BERTSCHI Ver- waltungsverfahren und Verwaltungsrechtspflege des Bundes; 3. Aufl. 2013, Rz. 1043 ff. m.w.H.).</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erfassen die behördlichen Ermittlungen nicht nur jene Umstände, welche die Betroffe- nen belasten, sondern auch die entlastenden. Die Behörde hat alle sach- und entscheidwesentlichen Tatsachen und Ergebnisse in den Akten fest- zuhalten. Unrichtig ist die Sachverhaltsfeststellung dann, wenn der Verfü- gung ein falscher und aktenwidriger Sachverhalt zugrunde gelegt wird, etwa weil die Rechtserheblichkeit einer Tatsache zu Unrecht verneint wird und folglich nicht alle entscheidwesentlichen Gesichtspunkte des Sachver- halts geprüft werden, oder weil Beweise falsch gewürdigt wurden. Unvoll- ständig ist die Sachverhaltsfeststellung,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w:t>
      </w:r>
    </w:p>
    <w:p>
      <w:r>
        <w:t>D-2199/2020 Seite 8 welche sie ihren Entscheid stützt (vgl. BVGE 2008/47 E. 3.2). Nicht erfor- derlich jedoch ist, dass sich die Begründung mit allen Parteipunkten ein- lässlich auseinandersetzt und jedes einzelne Vorbringen ausdrücklich wi- derlegt (vgl. BGE 136 I 184 E. 2.2.1).</w:t>
      </w:r>
    </w:p>
    <w:p>
      <w:r>
        <w:rPr>
          <w:b/>
        </w:rPr>
        <w:t>E. 3.5.1</w:t>
      </w:r>
    </w:p>
    <w:p>
      <w:r>
        <w:t>Die Beschwerdeführerin beanstandete zunächst, dass die massge- benden Akten des LINGUA-Gutachtens nicht ediert und diejenigen der Do- kumentenanalyse der Identitätskarte nicht offengelegt worden seien. Trotz der Offenlegung des Werdeganges der mit ihrer Herkunftsabklärung be- auftragten Fachpersonen sei es unmöglich, Einwände gegen die betreffen- den Personen vorzubringen oder allfällige Ausstandsgründe zu prüfen. Auch könne nicht kontrolliert werden, wie viele Fragen sie richtig beantwor- tet habe und wie diese in der Entscheidfindung berücksichtigt worden seien. Dem Werdegang der Expertenperson sei ferner nicht zu entnehmen, welche Dialekte sie spreche. Aus den Akten gehe lediglich hervor, dass eine der Expertinnen seit Oktober 2012 bei LINGUA unter Vertrag stehe.</w:t>
      </w:r>
    </w:p>
    <w:p>
      <w:r>
        <w:rPr>
          <w:b/>
        </w:rPr>
        <w:t>E. 3.5.2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Art. 26 VwVG). Die Einsichtnahme kann jedoch eingeschränkt werden, wenn wesentliche öffentliche Interessen die Geheimhaltung erfordern (vgl. Art. 27 Abs. 1 VwVG). Dem Anspruch auf Einsicht in LINGUA-Analysen stehen grund- sätzlich überwiegende öffentliche und private Geheimhaltungsinteressen entgegen, die eine Verweigerung der vollumfänglichen Offenlegung recht- fertigen. Dazu zählen insbesondere die Vermeidung eines Lerneffektes, ei- ner missbräuchlichen Weiterverbreitung des Fragenkatalogs und der Si- cherheitsanspruch der sachverständigen Person. Zur Wahrung des An- spruchs auf rechtliches Gehör muss der asylsuchenden Person aber vom wesentlichen Inhalt der Analyse Kenntnis gegeben werden, mit der Mög- lichkeit, sich dazu zu äussern und Gegenbeweise zu bezeichnen (vgl. Art. 28 VwVG). Die Rechtsprechung hat Mindeststandards zur Gewährung des rechtlichen Gehörs und der Akteneinsicht betreffend LINGUA-Analy- sen definiert. Dazu ist der wesentliche Inhalt sowie zusammenfassend die von der Fachperson gestellten Fragen und die darauf erhaltenen Antworten offenzulegen sowie zur sachverständigen Person Auskunft geben (vgl. BVGE 2015/10 E. 5. sowie etwa die Urteile des BVGer Urteil des BVGer D-2773/2020 vom 5. Oktober 2023 E. 5.2; A-1822/2021 vom 7. September 2022 E. 5.3 m.w.H. sowie Art. 27 VwVG f.).</w:t>
      </w:r>
    </w:p>
    <w:p>
      <w:r>
        <w:t>D-2199/2020 Seite 9</w:t>
      </w:r>
    </w:p>
    <w:p>
      <w:r>
        <w:rPr>
          <w:b/>
        </w:rPr>
        <w:t>E. 3.5.3</w:t>
      </w:r>
    </w:p>
    <w:p>
      <w:r>
        <w:t>Vorliegend wurde der Beschwerdeführerin – entgegen ihrer Ansicht, dass das rechtliche Gehör lediglich pro forma erfolgt sei – der wesentliche Inhalt der LINGUA-Analyse im Rahmen der Gewährung des rechtlichen Gehörs vom 6. Februar 2020 auf knapp drei Seiten (inklusive ihrer Antwor- ten) zusammengefasst zur Kenntnis gebracht und sie wurde über den Wer- degang der sachverständigen Person informiert. Die Vorinstanz räumte ihr am 24. Februar 2020 sodann die Gelegenheit ein, ihr aufgezeichnetes LIN- GUA-Gespräch anzuhören und Stellung dazu zu nehmen (vgl. SEM-Akten A25/5, A26/3, A28/2; A29/4). Mit diesem Vorgehen wurde ihr Einsicht in den wesentlichen Inhalt der Analyse gewährt und der Anspruch auf das rechtliche Gehör hinreichend gewahrt. Die Rüge, dass ihr keine Einsicht in die Dokumentenanalyse ihrer Identitätskarte gewährt worden und diese als interne respektive geheime Akten klassifiziert worden sei, kann nicht ge- hört werden, zumal die Vorinstanz in der Vernehmlassung zusammenfas- send die Resultate aufführte. Überdies ist nicht ersichtlich, welche weiteren Erkenntnisse zur Echtheit der Identitätskarte hätten offengelegt werden sollen (vgl. Vernehmlassung vom 18. Mai 2020 S. 2). Eine Verletzung des rechtlichen Gehörs oder des Rechts auf ein faires Verfahren im Sinne von Art. 29 BV und Art. 6 EMRK sind demzufolge nicht erkennbar. Im Übrigen ist auf die Verfügung vom 20. September 2023 zu verweisen, worin das Gesuch um Akteneinsicht in das LINGUA-Gutachten bereits abgewiesen worden war.</w:t>
      </w:r>
    </w:p>
    <w:p>
      <w:r>
        <w:rPr>
          <w:b/>
        </w:rPr>
        <w:t>E. 3.6.1</w:t>
      </w:r>
    </w:p>
    <w:p>
      <w:r>
        <w:t>Weiter bemängelte die Beschwerdeführerin, dass die Vorinstanz sich einseitig auf die (belastenden) Ergebnisse des LINGUA-Gutachtens abge- stützt, jedoch ihre Ausführungen während der Anhörungen und die Stel- lungnahme zum LINGUA-Gutachten sowie die eingereichten Beweismittel in willkürlicher Weise unberücksichtigt und der Identitätskarte lediglich ei- nen geringen Beweiswert zugesprochen habe. Damit seien das rechtliche Gehör und der Anspruch auf ein faires Verfahren im Sinne von Art. 29 BV und Art. 6 EMRK ebenfalls verletzt. Grundsätzlich sei die Fachkompetenz der sachverständigen LINGUA-Experten zwar nicht anzuzweifeln, jedoch sei ihr sowie ihrer Schwester aufgefallen, dass die durchführende Person mehrere Jahre nicht mehr im Tibet gelebt haben könne, da sie verschie- dene, in dieser Gegend gebräuchliche Ausdrücke nicht gekannt habe. Die angeblich aktuellen Kenntnisse der Fachperson zur Herkunftsregion der Beschwerdeführerin seien zu bezweifeln, da verschiedenen Quellen zu- folge seit mindestens 2008 der Zugang zur besagten Region für ausländi- sche Personen eingeschränkt oder gar gesperrt sei. Deshalb seien das un- eingeschränkte Vertrauen der Vorinstanz in die Analysen sowie die</w:t>
      </w:r>
    </w:p>
    <w:p>
      <w:r>
        <w:t>D-2199/2020 Seite 10 notwendige Objektivität und Neutralität zu relativieren. Sollte es sich bei der sachverständigen Person um die Person mit dem Pseudonym «AS19» handeln, seien konkrete Zweifel an deren Fachwissen und deren Unab- hängigkeit angebracht. Um eine tatsächlich objektive Einschätzung einer Herkunftsanalyse zu erhalten, sei unter Umständen ein unabhängiges Gut- achten in Auftrag zu geben, dies nicht zuletzt unter dem Aspekt, dass die LINGUA-Fachstelle der Vorinstanz angegliedert und dieser untergeordnet sei, weshalb Zweifel an ihrer Unabhängigkeit bestünden.</w:t>
      </w:r>
    </w:p>
    <w:p>
      <w:r>
        <w:rPr>
          <w:b/>
        </w:rPr>
        <w:t>E. 3.6.2</w:t>
      </w:r>
    </w:p>
    <w:p>
      <w:r>
        <w:t>Hierzu ist festzustellen, dass eine LINGUA-Analyse zwar kein Sach- verständigengutachten, sondern eine schriftliche Auskunft einer Drittper- son darstellt. Sofern bestimmte Anforderungen an die fachliche Qualifika- tion, Objektivität und Neutralität der Expertin oder des Experten wie auch an die inhaltliche Schlüssigkeit und Nachvollziehbarkeit der Analyse erfüllt sind, ist einer solchen Analyse jedoch erhöhter Beweiswert beizumessen (vgl. BVGE 2014/12 E. 4.2.1). Im Referenzurteil D-2337/2021 kam das Bundesverwaltungsgericht zum Schluss, dass die Person unter dem Pseu- donym «AS19» fachlich korrekte, neutrale und objektive LINGUA-Analysen zur Überprüfung der Sozialisation eines Asylsuchenden in der Autonomen Region Tibet vornehme. Die Fachstelle LINGUA arbeite laufend an der Op- timierung der allgemeinen Methodik. Die von «AS19» erstellten LINGUA- Analysen seien somit nicht grundsätzlich zu beanstanden, müssten jedoch einzelfallspezifisch auf ihre Aussagekraft hin geprüft werden (vgl. zum Ganzen das Referenzurteil D-2337/2021 vom 5. Juli 2023 E. 7).</w:t>
      </w:r>
    </w:p>
    <w:p>
      <w:r>
        <w:rPr>
          <w:b/>
        </w:rPr>
        <w:t>E. 3.6.3</w:t>
      </w:r>
    </w:p>
    <w:p>
      <w:r>
        <w:t>Vorliegend erweist sich die Analyse als ausführlich sowie schlüssig. Anhand der biographischen Angaben der Beschwerdeführerin und unter Berücksichtigung ihrer fehlenden Schulbildung wurde Basiswissen aus dem Alltag, der Umgebungsgeographie und zur Landwirtschaft abgefragt. In der Folge wurde in der Analyse nachvollziehbar dargelegt, dass sie zwar über landeskundlich-kulturelle Kenntnisse zur angegebenen Heimatregion verfüge, jedoch die verschiedenen Wissenslücken vor ihrem angegebenen biografischen Hintergrund nicht erklärbar seien. Die Erwartungen an die Sprache seien insgesamt nicht erfüllt und sie sei angesichts der Auswer- tung ihres gesprochenen Dialekts höchstwahrscheinlich nicht wie von ihr behauptet, im Kreis Gonjo, sondern vielmehr in einer exiltibetischen Ge- meinschaft ausserhalb der Volksrepublik China hauptsozialisiert worden.</w:t>
      </w:r>
    </w:p>
    <w:p>
      <w:r>
        <w:rPr>
          <w:b/>
        </w:rPr>
        <w:t>E. 3.6.4</w:t>
      </w:r>
    </w:p>
    <w:p>
      <w:r>
        <w:t>Die Rüge, dass der Anspruch auf das rechtliche Gehör verletzt und der Sachverhalt einseitig sowie falsch festgestellt worden sei, da ihre Aus- führungen in der Entscheidfindung kaum berücksichtigt respektive</w:t>
      </w:r>
    </w:p>
    <w:p>
      <w:r>
        <w:t>D-2199/2020 Seite 11 pauschal abgewiesen worden seien, ist abzuweisen. Die Vorinstanz hat sich in ihrer Verfügung mit den Antworten der Beschwerdeführerin ausei- nandergesetzt und ausführlich begründet, aus welchen Überlegungen sie zu ihrem Entscheid gelangt ist, weshalb und unter Berücksichtigung des Gesamtkontextes die geschilderten Fluchtgründe sowie die illegale Aus- reise unglaubhaft ausgefallen seien und sie unter diesen Umständen der Identitätskarte und der Kopie des Hukou den Beweiswert abspreche (vgl. SEM-Akte A31/11 [Seiten 3-7] und Vernehmlassung vom 18. Mai 2020 S. 3). Damit hat die Vorinstanz dem rechtlichen Gehör und insbesondere der Begründungspflicht ebenso Genüge getan wie den Untersuchungs- grundsatz respektiert. Bei diesen Rügen handelt es sich vielmehr um die Frage der rechtlichen Würdigung; wobei der Umstand allein, dass die Vo- rinstanz aufgrund der vorliegenden Aktenlage zu einer anderen Würdigung gekommen ist, als in der Beschwerde gefordert, nicht für eine unrichtige oder unvollständige Sachverhaltsfeststellung spricht (vgl. E.6.3 hiernach).</w:t>
      </w:r>
    </w:p>
    <w:p>
      <w:r>
        <w:rPr>
          <w:b/>
        </w:rPr>
        <w:t>E. 3.6.5</w:t>
      </w:r>
    </w:p>
    <w:p>
      <w:r>
        <w:t>Schliesslich ist auch keine Verletzung von Verfahrensfehlern darin erkennbar, dass die Vorinstanz trotz Einreichens einer Identitätskarte eine LINGUA-Analyse hat durchführen lassen, zumal die alleinige Einreichung eines Identitätsdokuments nicht automatisch die Richtigkeit von Vorbrin- gen im Asylverfahren – und namentlich zur Herkunft – der beschwerdefüh- renden Person impliziert.</w:t>
      </w:r>
    </w:p>
    <w:p>
      <w:r>
        <w:rPr>
          <w:b/>
        </w:rPr>
        <w:t>E. 3.7</w:t>
      </w:r>
    </w:p>
    <w:p>
      <w:r>
        <w:t>Zusammenfassend kommt das Gericht zum Schluss, dass der An- spruch der Beschwerdeführerin auf rechtliches Gehör nicht verletzt ist, der Sachverhalt richtig sowie vollständig festgestellt und insbesondere auch die Begründungspflicht nicht verletzt wurde. Der Antrag auf die Erstellung eines unabhängigen Gutachtens ist ebenso abzuweisen wie der Subeven- tualantrag um Rückweisung der Sache an die Vorinstanz oder die Möglich- keit zu einer weiteren Stellungnahme.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D-2199/2020 Seite 12</w:t>
      </w:r>
    </w:p>
    <w:p>
      <w:r>
        <w:rPr>
          <w:b/>
        </w:rPr>
        <w:t>E. 4.2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der gesuch- 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2012/5 E. 2.2; 2010/57 E. 2.3).</w:t>
      </w:r>
    </w:p>
    <w:p>
      <w:r>
        <w:rPr>
          <w:b/>
        </w:rPr>
        <w:t>E. 4.3</w:t>
      </w:r>
    </w:p>
    <w:p>
      <w:r>
        <w:t>Bei Zweifeln an der geltend gemachten Herkunft einer asylsuchenden Person lässt das SEM in der Regel durch einen amtsexternen Sachver- ständigen mit entsprechenden Sprach- und Länderkenntnissen eine Her- kunftsanalyse respektive LINGUA-Analyse durchführen. Dabei werden lan- deskundlich-kulturelle Kenntnisse und sprachliche Fähigkeiten der asylsu- chenden Person geprüft. Bei solchen Analysen handelt es sich, wie er- wähnt, zwar nicht um Sachverständigengutachten im Sinne von Art. 12 Bst. e VwVG, sondern um schriftliche Auskünfte einer Drittperson im Sinne von Art. 12 Bst. c VwVG. Sofern bestimmte Anforderungen an die fachliche Qualifikation, Objektivität und Neutralität des Analysten und an die inhaltli- che Schlüssigkeit und Nachvollziehbarkeit erfüllt sind, ist ihnen jedoch ein erhöhter Beweiswert beizumessen (vgl. BVGE 2014/12 E. 4.2.1 m.w.H.). Als weiteres Indiz zur Klärung, ob die beschwerdeführende Person ihre Herkunft zu verschleiern versucht, sind ebenfalls ihre Aussagen in den Be- fragungen zu würdigen (vgl. Referenzurteil des BVGer D-2337/2021 vom</w:t>
      </w:r>
    </w:p>
    <w:p>
      <w:r>
        <w:rPr>
          <w:b/>
        </w:rPr>
        <w:t>E. 5</w:t>
      </w:r>
    </w:p>
    <w:p>
      <w:r>
        <w:t>Juli 2023 E. 7.12).</w:t>
      </w:r>
    </w:p>
    <w:p>
      <w:r>
        <w:t>D-2199/2020 Seite 13</w:t>
      </w:r>
    </w:p>
    <w:p>
      <w:r>
        <w:rPr>
          <w:b/>
        </w:rPr>
        <w:t>E. 5.1</w:t>
      </w:r>
    </w:p>
    <w:p>
      <w:r>
        <w:t>Die Vorinstanz führte hinsichtlich der fehlenden Glaubhaftigkeit der Asylvorbringen der Beschwerdeführerin an, dass ihre Schilderungen ins- gesamt substanzarm, realitätsfremd und widersprüchlich ausgefallen seien. Obwohl sie während der Anhörung viel gesprochen habe, sei es ihr weder gelungen, ihre Schilderungen zu den Vorbereitungen noch zur ei- gentlichen, fluchtauslösenden Aktion in G._______ detailliert und glaubhaft darzulegen. Insbesondere falle auf, dass sie ihre Rolle während der Pla- kataktion nicht habe detailliert schildern können, sondern lediglich über die Taten sowie Gefühle ihrer Schwester erzählt habe. Auch den Inhalt der handgeschriebenen Zettel habe sie nicht benennen können. Zudem sei es zu Widersprüchen in den Schilderungen des Ereignisses mit den Schilde- rungen ihrer Schwester gekommen. Überdies sei es nicht verständlich, weshalb sie zwar im Geheimen sowie nachts die Plakate aufgehängt, gleichzeitig jedoch laut Parolen gerufen und Flugblätter in die Luft gewor- fen haben sollten, obwohl sich zu dieser Zeit kaum jemand auf der Strasse aufgehalten habe. Ausserdem seien ihre Angaben zu ihrer Motivation für diese politische Aktion sehr pauschal und substanzarm ausgefallen. Ob- wohl sie unbestrittenermassen tibetischer Ethnie sei, legten die mangelhaf- ten Länder- respektive Regionalkenntnisse, die mangelnden Kenntnisse der lokalen Sprache sowie die unglaubhaft vorgetragenen Asylgründe nahe, dass sie nicht wie behauptet in der von ihr angegebenen Region sozialisiert worden sein könne. Die zu den Akten gereichte chinesische Identitätskarte sei zwar von guter Qualität, jedoch sei es bekannt, dass sol- che käuflich seien und dementsprechend über einen geringen Beweiswert verfügen würden. Gemäss bundesverwaltungsgerichtlicher Rechtspre- chung sei bei der Unglaubhaftigkeit der Angaben zu einer (angeblichen) Sozialisierung in der Volksrepublik China davon auszugehen, dass die be- schwerdeführende Person in einem Drittstaat über eine Aufenthaltsbewilli- gung verfügen oder zumindest eine Duldung eines Aufenthalts in diesem Staat besitzen müsse. Vorliegend habe sie nicht glaubhaft darzulegen ver- mocht, im Tibet sozialisiert worden zu sein. Vielmehr sei davon auszuge- hen, dass sie in der exiltibetischen Diaspora gelebt habe. Da sie jedoch keine konkreten Hinweise auf ihren tatsächlichen Aufenthaltsort habe an- geben können respektive somit ihre Mitwirkungspflicht verletzt habe, sei davon auszugehen, dass sie an ihren bisherigen Aufenthaltsort zurückkeh- ren könne. Die Angaben zu ihrer Sozialisierung in der Volksrepublik China seien aufgrund ihrer mangelnden Chinesischkenntnisse sowie ihrem unge- nügenden geographischen Wissen ihres angeblichen Herkunftsorts zu be- zweifeln. Der LINGUA-Analyse sei zu entnehmen, dass sie zwar die Na- men einiger Orte, des nahegelegenen Flusses sowie des Klosters ihres</w:t>
      </w:r>
    </w:p>
    <w:p>
      <w:r>
        <w:t>D-2199/2020 Seite 14 Herkunftsortes habe angeben können. Zudem habe sie einige Feldfrüchte, welche in diesem Gebiet angebaut würden, richtig benannt. Weiter habe sie stimmige Angaben zu Identitätspapieren, einigen Ämtern sowie zum Schulsystem gemacht. Gemäss der sachverständigen Person könne die- ses faktische Wissen jedoch auch ausserhalb von Tibet erworben werden. Es sei zu Lücken und Unstimmigkeiten ihrer Angaben gekommen und es erstaune, dass sie die seit Langem obsoleten Bezeichnungen für die chi- nesische administrative Zuteilung verwendet habe. Bezüglich ihrer geogra- phischen Kenntnisse falle auf, dass sie das unmittelbare Nachbarsdorf ih- res Heimatdorfes, weitere anliegende Nachbarsgemeinden sowie die Se- henswürdigkeit des Klosters Gyarangön nicht gekannt habe. Dies wäre je- doch zu erwarten gewesen, wenn sie tatsächlich ihr ganzes Leben dort verbracht hätte. Es erstaune ferner, dass sie die Saatmonate anhand des tibetischen Kalenders, der lediglich für religiöse Feiertage verwendet werde, auch noch falsch benannt habe. Weitere fehlende Kenntnisse habe sie in Bezug auf die Ernte, die Tierhaltung und im Bereich der Gastronomie aufgewiesen. Die sprachliche Analyse habe ergeben, dass ihr Dialekt auf phonetischer und phonologischer Ebene aus einem Gemisch verschiede- ner Dialekte bestehe, wobei dieser nicht zu ihrer angegebenen Biographie passe. Vielmehr sei von einer Sozialisierung in einem gemischtsprachigen Umfeld auszugehen, wie dies vor allem im Exil der Fall sei.</w:t>
      </w:r>
    </w:p>
    <w:p>
      <w:r>
        <w:rPr>
          <w:b/>
        </w:rPr>
        <w:t>E. 5.2</w:t>
      </w:r>
    </w:p>
    <w:p>
      <w:r>
        <w:t>Die Beschwerdeführerin monierte, die Vorinstanz habe sich aus- schliesslich darauf beschränkt, Widersprüche und kleine Unstimmigkeiten in der LINGUA-Analyse zu finden, um ihr anhand dieser unterstellen zu können, dass sie nicht in der Volksrepublik China sozialisiert worden sei. Ausserdem habe sie sich bei ihrer Argumentation lediglich auf das erstellte Gutachten gestützt. Aus der eingereichten Kopie ihres Hukou ergebe sich dagegen, dass der Ausstellungsort demjenigen ihrer Identitätskarte ent- spreche, wobei die Nummer der Identitätskarte mit derjenigen aus dem Fa- milienbüchlein identisch sei. Somit sei ihre Identität rechtsgenüglich belegt, weshalb ihr Asyl oder die vorläufige Aufnahme zu gewähren sei. Weiter habe sich die Vorinstanz ausschliesslich auf das nicht vorhandene Wissen gestützt und dabei die fehlende Schulbildung unberücksichtigt gelassen. Sodann sei sowohl der vorinstanzlichen Verfügung als auch der schriftli- chen Zusammenfassung des Gutachtens zu entnehmen, dass sie die ihr gestellten Fragen zum grossen Teil korrekt beantwortet habe, was jedoch in der Entscheidfindung nicht berücksichtigt, sondern lediglich mit der Be- gründung, man könne sich dieses Wissen auch faktisch aneignen, taxiert worden sei. Unter diesen Voraussetzungen stelle sich grundsätzlich die Frage nach dem Sinn der ihr gestellten Fragen. Ferner erstaune es, dass</w:t>
      </w:r>
    </w:p>
    <w:p>
      <w:r>
        <w:t>D-2199/2020 Seite 15 das LINGUA-Gespräch so lange gedauert habe; dies um lediglich heraus- zufinden, dass sie angeblich nicht in Tibet sozialisiert worden sei.</w:t>
      </w:r>
    </w:p>
    <w:p>
      <w:r>
        <w:rPr>
          <w:b/>
        </w:rPr>
        <w:t>E. 5.3</w:t>
      </w:r>
    </w:p>
    <w:p>
      <w:r>
        <w:t>Die Vorinstanz hielt in ihrer Vernehmlassung bezüglich der eingereich- ten Identitätskarte fest, dass die interne Prüfung zwar ergeben habe, dass keine offensichtlichen Fälschungsmerkmale vorliegen würden, jedoch sei dem Dokument im Kontext mit den Ergebnissen der LINGUA-Analyse, ins- besondere aufgrund ihres vom Exiltibetischen stark beeinflussten Dialekts, lediglich ein geringer Beweiswert beizumessen. Sodann äusserte sich die Vorinstanz zu den von der Beschwerdeführerin geltend gemachten formel- len Rügen.</w:t>
      </w:r>
    </w:p>
    <w:p>
      <w:r>
        <w:rPr>
          <w:b/>
        </w:rPr>
        <w:t>E. 5.4</w:t>
      </w:r>
    </w:p>
    <w:p>
      <w:r>
        <w:t>Die Beschwerdeführerin entgegnete in ihrer Replik, die Vorinstanz habe das neu eingereichte Beweismittel – den Hukou – nicht berücksichtigt und bemängelte erneut die fehlende Auseinandersetzung der Vorinstanz mit ihrer illegalen Ausreise aus der Volksrepublik China. Es sei festzuhal- ten, dass diverse gängige Begriffe der befragenden Person während der Herkunftsabklärung nicht bekannt gewesen seien und sie – die Beschwer- deführerin – diese mehrmals habe umformulieren müssen. Unter diesen Umständen sei davon auszugehen, dass die befragende Person mehrere Jahre ausserhalb ihrer Heimatregion gelebt haben müsse.</w:t>
      </w:r>
    </w:p>
    <w:p>
      <w:r>
        <w:rPr>
          <w:b/>
        </w:rPr>
        <w:t>E. 6.1</w:t>
      </w:r>
    </w:p>
    <w:p>
      <w:r>
        <w:t>In BVGE 2014/12 präzisierte das Gericht seine Praxis gemäss den Ent- scheidungen und Mitteilungen der Asyl- und Rekurskommission (EMARK) 2005 Nr. 1 und stellte fest, dass bei Personen tibetischer Ethnie, die ihre wahre Herkunft verschleiern oder verheimlichen, vermutungsweise davon auszugehen sei, dass keine flüchtlings- oder wegweisungsbeachtlichen Gründe gegen eine Rückkehr an ihren bisherigen Aufenthaltsort bestün- den. Die Abklärungspflicht der Asylbehörden finde ihre Grenze an der Mit- wirkungspflicht der asylsuchenden Person. Verunmögliche eine tibetische asylsuchende Person durch die Verletzung ihrer Mitwirkungspflicht die Ab- klärung, welchen effektiven Status sie in Nepal respektive in Indien inne- habe, könne namentlich keine Drittstaatenabklärung im Sinne von Art. 31a Abs. 1 Bst. c AsylG stattfinden. Überdies werde durch die Verheimlichung und Verschleierung der wahren Herkunft auch die Prüfung der Flüchtlings- eigenschaft der betreffenden Person in Bezug auf ihr effektives Heimatland verunmöglicht. Steht eine Täuschung über die Herkunft im Raum, kommt einer LINGUA-Analyse grosse Bedeutung zu (vgl. BVGE 2014/12 E. 4.2.1.und E. 5.9 f. mit Hinweis auf EMARK 1998 2003 Nr. 14 E. 7 und EMARK 1998 Nr. 34; bestätigt im Referenzurteil D-2337/2021 vom 5. Juli</w:t>
      </w:r>
    </w:p>
    <w:p>
      <w:r>
        <w:t>D-2199/2020 Seite 16 2023 E. 7.1ff.). Vor diesem Hintergrund ist die Frage, wo die asylsuchende Person in den Jahren vor ihrer Einreise in die Schweiz gelebt hat, von ent- scheidender Bedeutung.</w:t>
      </w:r>
    </w:p>
    <w:p>
      <w:r>
        <w:rPr>
          <w:b/>
        </w:rPr>
        <w:t>E. 6.2</w:t>
      </w:r>
    </w:p>
    <w:p>
      <w:r>
        <w:t>Das Gericht schliesst sich der Einschätzung der Vorinstanz an, dass die Asylvorbringen und die Schilderungen zur illegalen Ausreise der Be- schwerdeführerin aus ihrem Heimatland substanzarm, teilweise wider- sprüchlich sowie zum Teil realitätsfremd ausgefallen sind (vgl. SEM-Akte A 31/11 S. 3 und S. 6-7). Obwohl sie anlässlich der BzP und ihrer Anhörung verschiedene Informationen zu ihren Lebensumständen, zur Landwirt- schaft, zur lokalen Administration und Geographie sowie einige Chine- sischkenntnisse wiedergab, sind ihre fluchtauslösenden Vorbingen insge- samt als unglaubhaft einzustufen. Auch wenn ihre Schilderungen hierzu relativ umfangreich ausgefallen sind, fällt auf, dass sie lediglich die Ge- schehnisse ihre Schwester betreffend wiedergab und auch auf Nachfrage hin nicht detailliert zu schildern vermochte, welche konkreten Handlungen sie selber anlässlich der Aktion an der (...)-Strasse durchgeführt hat. Zu- dem erscheint es nicht überzeugend, dass sie, ihre Schwester und die Nonne, im Wissen um die Gefährlichkeit der Tat, durch das Ausrufen von Parolen auf sich aufmerksam gemacht haben und sich so wissentlich in Gefahr gebracht haben sollen. Um Wiederholungen zu vermeiden, ist auf die diesbezüglichen Ausführungen in der vorinstanzlichen Verfügung zu verweisen (vgl. SEM-Akte A31/11, S. 6-7). Ferner überzeugen die Schilde- rungen zu ihrer Ausreise aus dem Heimatland aufgrund mangelnder Sub- stanziiertheit ebenfalls nicht und wirken teilweise realitätsfremd. Es er- staunt vor dem Hintergrund ihrer fehlenden Schulbildung, dass sie die Aus- reisedaten präzise anzugeben vermochte. Hingegen wusste sie die Namen der Staaten, in welchen sie sich während mehrerer Monate aufgehalten habe, namentlich nicht zu benennen. Dieses mangelnde Grundwissen zu ihrem vorgebrachten mehrmonatigen Auslandaufenthalt erstaunt, zumal auch von einer Person ohne Schulbildung erwartet werden kann zu wissen, wo sie sich aufhält. Dieses angeblich fehlende Wissen überzeugt ebenso wenig wie ihre lediglich sehr oberflächlich beschriebene Flugreise. Eben- falls ist nicht nachvollziehbar, weshalb sie keine konkreten Angaben zu ih- rer Fahrt an die Grenze machen und insbesondere die Stadt Dram nicht beschreiben konnte. Der Umstand, dass sie zudem nicht in der Lage war, die Überquerung der Grenze detailliert zu beschreiben, stützt die Einschät- zung, dass sie nicht wie unter den beschriebenen Umständen aus der Volksrepublik China geflüchtet sein kann (vgl. SEM-Akten A9/14 F5.02; A16/13, F42-64).</w:t>
      </w:r>
    </w:p>
    <w:p>
      <w:r>
        <w:t>D-2199/2020 Seite 17</w:t>
      </w:r>
    </w:p>
    <w:p>
      <w:r>
        <w:rPr>
          <w:b/>
        </w:rPr>
        <w:t>E. 6.3</w:t>
      </w:r>
    </w:p>
    <w:p>
      <w:r>
        <w:t>Angesichts der unglaubhaften Schilderungen zu ihren Fluchtgründen und den Ausreiseumständen bestanden trotz dem Einreichen einer Identi- tätskarte für das SEM – entgegen der Ansicht der Beschwerdeführerin – berechtigte Anhaltspunkte, an ihrer behaupteten Sozialisierung – nicht je- doch an ihrer tibetischen Ethnie – zu zweifeln und demnach Anlass, eine Herkunftsabklärung mittels einer LINGUA-Analyse durchführen zu lassen. Der LINGUA-Analyse kommt ein erhöhter Beweiswert zu, da diese auch vorliegend als inhaltlich schlüssig und ausgewogen zu erachten ist und die sachverständige Person die Anforderungen an die fachliche Qualifikation erfüllt. Die in der Beschwerde angebrachte Kritik, das Interview habe zu- lange gedauert, um lediglich herauszufinden, dass die Beschwerdeführerin nicht in der Autonomen Region Tibet sozialisiert worden sein soll, ist nicht verständlich, zumal gerade aus der langen Dauer eines Interviews hervor- geht, dass die entsprechenden Abklärungen sorgfältig und seriös durchge- führt wurden. In der Analyse wurde im Wesentlichen das Basiswissen des täglichen Lebens, welches durch eigene Beobachtung und Kontakt mit an- deren Menschen erworben wird, bezüglich der administrativen Einteilung, der Distanzen, geografischen Gegebenheiten und Sehenswürdigkeiten im Umfeld ihres unmittelbaren Lebensraumes geprüft und ausgewertet, ob sie in der Volksrepublik China hauptsozialisiert worden sein kann. Die Analyse kam im Ergebnis zum Schluss, dass die Beschwerdeführerin zwar Fach- wissen in geographischer und kultureller Hinsicht, aber auch einige Lücken und Unstimmigkeiten betreffend die administrativen Einheiten, lokalen Se- henswürdigkeiten, Aussaatzeiten sowie begrenztes Wissen rund um die Tierhaltung aufweise, welche vor dem von ihrem angegebenen biografi- schen Hintergrund nicht erklärbar seien. Auch wenn nicht allen erwähnten Unstimmigkeiten gleich grosses Gewicht zuzumessen ist und sie mehrheit- lich korrekte Angaben im Zusammenhang mit der Schule sowie der Aus- stellung von Identitätsdokumenten machte, fällt ihr sehr knappes und teil- weise falsches Wissen bezüglich Landwirtschaft und insbesondere zu den Aussaatzeiten auf. Diese Unwissenheit erstaunt hauptsächlich vor dem Hintergrund, dass sie seit ihrer Kindheit ausschliesslich in der familienei- genen Tierhaltung und in der Landwirtschaft gearbeitet haben will (vgl. SEM-Akte A15/21 F27-40). Die bereits vorhandenen Zweifel an ihrer angegebenen Hauptsozialisierung werden schliesslich durch ein bedeu- tendes Indiz – den von ihr gesprochenen Dialekt – bekräftigt. Die LINGUA- Analyse ergab, dass die von ihr gesprochene Sprache ein Gemisch ver- schiedener Dialekte sei und auf eine Sozialisierung in einem gemischtspra- chigen Umfeld, wie man es vorwiegend im Exil finde, hindeute. Die Ana- lyse, wonach auch unter Berücksichtigung der verschiedenen Aufenthalte ausserhalb ihres angegebenen Geburtsortes, die einen Dialekt</w:t>
      </w:r>
    </w:p>
    <w:p>
      <w:r>
        <w:t>D-2199/2020 Seite 18 beeinflussen könnten, sie eindeutig nicht wie von ihr angegeben, während 21 Jahren im Kreis Gonjo, sondern in einer exiltibetischen Gemeinschaft ausserhalb der Volksrepublik China hauptsozialisiert worden sein müsse, erscheint nachvollziehbar und im Gesamtkontext zutreffend.</w:t>
      </w:r>
    </w:p>
    <w:p>
      <w:r>
        <w:rPr>
          <w:b/>
        </w:rPr>
        <w:t>E. 6.4</w:t>
      </w:r>
    </w:p>
    <w:p>
      <w:r>
        <w:t>Zur eingereichten Identitätskarte ist zu bemerken, dass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(vgl. Referenzurteil des BVGer D-2337/2021, a.a.O. E. 7.14 m.w.H.). Aufgrund der Fälschungsanfälligkeit ist dem Hukou ohnehin nur ein geringer Beweiswert beizumessen, dies gilt umso mehr, wenn das Dokument lediglich in Kopie vorliegt. Die vorgelegte Identitätskarte weist gemäss der Dokumentenanalyse des SEM zwar keine objektiven Fälschungsmerkmale auf. Vor dem Hintergrund der als unglaubhaft erachteten Hauptsozialisierung in der Volksrepublik China und der insgesamt wenig überzeugenden Schilderungen zu den Fluchtgründen sowie den Ausreiseumständen kommt ihr jedoch kein entscheidender Beweiswert zu, und sie vermag nichts zu Gunsten der Beschwerdeführerin zu bewirken.</w:t>
      </w:r>
    </w:p>
    <w:p>
      <w:r>
        <w:rPr>
          <w:b/>
        </w:rPr>
        <w:t>E. 6.5</w:t>
      </w:r>
    </w:p>
    <w:p>
      <w:r>
        <w:t>Nach einer Abwägung aller für und gegen die geltend gemachte Hauptsozialisierung sprechenden Elementen kommt das Gericht zusammenfassend zum Schluss, dass es zwar durchaus möglich erscheint, dass die Beschwerdeführerin in der Volksrepublik China geboren und allenfalls kurze Zeit dort gelebt haben könnte. Jedoch sprechen ihre Schilderungen sowie die LINGUA-Analyse insgesamt gegen die Glaubhaftigkeit ihrer behaupteten Hauptsozialisierung. Über- einstimmend mit der Einschätzung der Vorinstanz stellt das Gericht fest, dass die Beschwerdeführerin zwar tibetischer Ethnie ist, aber ihre wahre Herkunft verschleiert hat. Nach ständiger Rechtsprechung des Bundesverwaltungsgerichts ist bei Personen tibetischer Ethnie, die ihre wahre Herkunft verschleiern oder ver- heimlichen, vermutungsweise davon auszugehen, dass keine flüchtlings- oder wegweisungsbeachtlichen Gründe gegen eine Rückkehr an ihren bis- herigen Aufenthaltsort bestehen (vgl. BVGE 2014/12 E. 5.10 mit Verweis auf EMARK 2005 Nr. 1 E. 4.3). Die Vorinstanz hat demzufolge zu Recht die Flüchtlingseigenschaft der Beschwerdeführerin verneint und ihr Asylge- such abgelehnt.</w:t>
      </w:r>
    </w:p>
    <w:p>
      <w:r>
        <w:t>D-2199/2020 Seite 19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für zulässig, zumutbar und möglich zu erachten (vgl. E. 6.6 hiervor). Eine Anordnung der vorläufigen Aufnahme fällt somit ausser Betracht (Art. 83 Abs. 1–4 AIG).</w:t>
      </w:r>
    </w:p>
    <w:p>
      <w:r>
        <w:rPr>
          <w:b/>
        </w:rPr>
        <w:t>E. 8.3</w:t>
      </w:r>
    </w:p>
    <w:p>
      <w:r>
        <w:t>Diejenigen Tibeterinnen und Tibeter, die die chinesische Staatsbürger- schaft besitzen, haben in Bezug auf China zumindest subjektive Nach- fluchtgründe, weil sie als Unterstützer des Dalai Lama und damit als sepa- ratistisch gesinnte Oppositionelle betrachtet werden und – wiederum in Be- zug auf China – die Flüchtlingseigenschaft erfüllen (vgl. BVGE 2009/29). Ein Vollzug der Wegweisung nach China für alle Exil-Tibeter und somit auch für die Beschwerdeführerin ist auszuschliessen, da ihr dort eine un- menschliche Behandlung im Sinne von Art. 3 EMRK droht oder drohen könnte.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D-2199/2020 Seite 20</w:t>
      </w:r>
    </w:p>
    <w:p>
      <w:r>
        <w:rPr>
          <w:b/>
        </w:rPr>
        <w:t>E. 10.1</w:t>
      </w:r>
    </w:p>
    <w:p>
      <w:r>
        <w:t>Mit Verfügung vom 1. Mai 2020 wurde der Beschwerdeführerin – un- ter Vorbehalt einer nachträglichen Veränderung ihrer finanziellen Verhält- nisse – die unentgeltliche Prozessführung gewährt und Rechtsanwalt Christian Bignasca wurde als amtlicher Rechtsbeistand eingesetzt. Mit Ver- fügung vom 6. März 2025 wurde sie aufgefordert, ihre aktuelle finanzielle Situation offenzulegen. Mit Eingabe vom 14. März 2025 reichte sie Kopien ihres Arbeitsvertrags, ihrer Lohnausweise 2021-2024, ihrer Lohnabrech- nungen vom Dezember 2024, Januar 2025 und Februar 2025, ihres Miet- vertrags sowie ihrer Krankenkassenpolice ein. Dem eingereichten Arbeits- vertrag mit der Firma (...) zufolge steht sie seit 1. September 2023 in einem unbefristeten Arbeitsverhältnis und erhält ein Monatsbruttogehalt von 3'950.– (zuzüglich 13. Monatslohn). Gemäss Lohnausweis erhielt sie 2024 ein Jahresnettogehalt vom Fr. 47’606.– respektive einen monatlichen Net- tolohn von Fr. 3'967.– (inklusive Anteil des 13. Monatsgehalts). Nach Ab- zug der monatlichen Ausgaben (aktueller Mietzins [Fr. (...)], Krankenkas- senversicherung [Fr. (...)], Quellensteueranteil [Fr. (...)], Grundbedarf plus Zuschlag von 20% [Fr. 1’440.–]) ergibt sich ein monatlicher Überschuss von Fr. (...). Weitere Aufwendungen wurden nicht geltend gemacht. Die Be- schwerdeführerin ist anwaltlich vertreten und es kann davon ausgegangen werden, dass keine zusätzlichen Ausgaben von ihrem Budget abzuziehen sind, weshalb auf das Einholen weiterer Informationen über ihre finanzielle Situation verzichtet werden kann. Vor diesem Hintergrund kann somit nicht mehr von einer prozessualen Bedürftigkeit ausgegangen werden, weshalb eine Voraussetzung für die Gewährung der unentgeltlichen Prozessfüh- rung im Sinne von Art. 65 Abs. 1 VwVG weggefallen ist. Nachdem deren Gewährung unter dem Vorbehalt der nachträglichen Veränderungen der finanziellen Verhältnisse erfolgte, ist auf diesen Entscheid zurückzukom- men und die am 1. Mai 2020 gewährte unentgeltliche Prozessführung wie- dererwägungsweise zu entziehen.</w:t>
      </w:r>
    </w:p>
    <w:p>
      <w:r>
        <w:rPr>
          <w:b/>
        </w:rPr>
        <w:t>E. 10.2</w:t>
      </w:r>
    </w:p>
    <w:p>
      <w:r>
        <w:t>Beim Ausgang des vorliegenden Verfahrens sind somit die Kosten der Beschwerdeführerin aufzuerlegen und auf Fr. 750.– festzusetzen (Art. 63 Abs. 1 VwVG; Art. 1–3 des Reglements vom 21. Februar 2008 über die Kosten und Entschädigungen vor dem Bundesverwaltungsgericht [VGKE], SR 173.320.2).</w:t>
      </w:r>
    </w:p>
    <w:p>
      <w:r>
        <w:rPr>
          <w:b/>
        </w:rPr>
        <w:t>E. 10.3</w:t>
      </w:r>
    </w:p>
    <w:p>
      <w:r>
        <w:t>Abschliessend ist über das amtliche Honorar zu befinden. Die aufge- laufenen Kosten der Rechtsvertretung sind durch das Bundesverwaltungs- gericht zu vergüten, zumal an dieser Stelle ein Widerruf der amtlichen Ver- beiständung (und damit ex tunc) nicht in Betracht fällt.</w:t>
      </w:r>
    </w:p>
    <w:p>
      <w:r>
        <w:t>D-2199/2020 Seite 21</w:t>
      </w:r>
    </w:p>
    <w:p>
      <w:r>
        <w:rPr>
          <w:b/>
        </w:rPr>
        <w:t>E. 10.4</w:t>
      </w:r>
    </w:p>
    <w:p>
      <w:r>
        <w:t>Mit Eingabe vom 14. Januar 2021 reichte der amtliche Rechtsbei- stand eine Kostennote in der Höhe von Fr. 4'828.95 ein. Dabei ging er von einem Aufwand von 19.04 Stunden und einem Stundenansatz von Fr. 230.– aus. Der zeitliche Aufwand erscheint angesichts des teilweise überschneidenden Inhalts respektive gleicher Argumentation in der Be- schwerde der Schwester zu hoch und ist auf insgesamt 10 Stunden zu kür- zen. Da die Eingaben vom 3. März 2025 und 14. März 2025 identisch mit denjenigen der Schwester sind und bereits in ihrem Honorar berücksichtigt wurden, ist ihm hierfür keine zusätzliche Entschädigung zu entrichten. Mit Zwischenverfügung vom 1. Mai 2020 war darauf aufmerksam gemacht worden, dass bei Anwältinnen und Anwälten bei einer amtlichen Rechts- vertretung in der Regel von einem Stundenansatz von Fr. 200.– bis Fr. 220.– ausgegangen werde (vgl. Art. 12 i.V.m. Art. 10 Abs. 2 VGKE). Der Stundenansatz ist auf Fr. 200.– herabzusetzen und dem amtlichen Rechts- beistand ein Honorar von gerundet Fr. 2'258.– (inklusive Auslagen und Mehrwertsteuer) auszurichten. (Dispositiv nächste Seite)</w:t>
      </w:r>
    </w:p>
    <w:p>
      <w:r>
        <w:t>D-2199/2020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