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D-2197/2013 vom 29. August 2013</w:t>
      </w:r>
    </w:p>
    <w:p>
      <w:r>
        <w:t>Bundesverwaltungsgericht, 2013-08-29, FR</w:t>
      </w:r>
    </w:p>
    <w:p>
      <w:r>
        <w:rPr>
          <w:b/>
        </w:rPr>
        <w:t xml:space="preserve">Quelle: </w:t>
      </w:r>
      <w:r>
        <w:t>https://mcp.opencaselaw.ch/entscheid/bvger_D-2197_2013</w:t>
      </w:r>
    </w:p>
    <w:p>
      <w:r>
        <w:t>FR: TAF D-2197/2013 du 29 août 2013</w:t>
      </w:r>
    </w:p>
    <w:p>
      <w:r>
        <w:t>IT: TAF D-2197/2013 del 29 agosto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s'élevant à 600 francs sont supportés par la recourante. Ils sont compensés avec son avance versée le 22 août 2013.</w:t>
      </w:r>
    </w:p>
    <w:p>
      <w:r>
        <w:rPr>
          <w:b/>
        </w:rPr>
        <w:t>E. 3</w:t>
      </w:r>
    </w:p>
    <w:p>
      <w:r>
        <w:t>La présente décision est adressée à la recourante, à l'ODM, à I._______, ainsi qu'à la représentation suisse à H._______.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