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D-2195/2015 vom 21. Mai 2015</w:t>
      </w:r>
    </w:p>
    <w:p>
      <w:r>
        <w:t>Bundesverwaltungsgericht, 2015-05-21, DE</w:t>
      </w:r>
    </w:p>
    <w:p>
      <w:r>
        <w:rPr>
          <w:b/>
        </w:rPr>
        <w:t xml:space="preserve">Quelle: </w:t>
      </w:r>
      <w:r>
        <w:t>https://mcp.opencaselaw.ch/entscheid/bvger_D-2195_2015</w:t>
      </w:r>
    </w:p>
    <w:p>
      <w:r>
        <w:t>FR: TAF D-2195/2015 du 21 mai 2015</w:t>
      </w:r>
    </w:p>
    <w:p>
      <w:r>
        <w:t>IT: TAF D-2195/2015 del 21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so auch vorliegend, endgültig (Art. 105 AsylG; Art. 83 Bst. c Ziff. 1 und Bst. d Ziff. 1 BGG).</w:t>
      </w:r>
    </w:p>
    <w:p>
      <w:r>
        <w:rPr>
          <w:b/>
        </w:rPr>
        <w:t>E. 1.2</w:t>
      </w:r>
    </w:p>
    <w:p>
      <w:r>
        <w:t>Die Beschwerde ist nicht in einer Amtssprache des Bundes abge­fasst. Auf die Ansetzung einer Frist zur Beschwerdeverbesserung kann indessen praxisgemäss verzichtet werden, da der in Englisch verfassten Beschwerdeeingabe genügend klare, sinngemässe Rechtsbegehren und deren Begründung zu entnehmen sind und ohne Weiteres darüber befun­den werden kann.</w:t>
      </w:r>
    </w:p>
    <w:p>
      <w:r>
        <w:rPr>
          <w:b/>
        </w:rPr>
        <w:t>E. 1.3</w:t>
      </w:r>
    </w:p>
    <w:p>
      <w:r>
        <w:t>Die Beschwerdeführerinnen haben am Verfahren vor der Vorinstanz teil­genommen, sind durch die angefochtene Verfügung besonders berührt, haben ein schutzwürdiges Interesse an deren Aufhebung beziehungsweise Än­derung und sind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Da es sich vor­liegend, wie nachfolgend aufgezeigt, um eine solche handelt, ist der Be­schwerdeentscheid nur summarisch zu begründen (Art. 111a Abs. 2 AsylG).</w:t>
      </w:r>
    </w:p>
    <w:p>
      <w:r>
        <w:rPr>
          <w:b/>
        </w:rPr>
        <w:t>E. 4</w:t>
      </w:r>
    </w:p>
    <w:p>
      <w:r>
        <w:t>Gestützt auf Art. 111a Abs. 1 AsylG wurde auf die Durchführung eines Schrif­tenwechsels verzichtet.</w:t>
      </w:r>
    </w:p>
    <w:p>
      <w:r>
        <w:rPr>
          <w:b/>
        </w:rPr>
        <w:t>E. 5</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6.1</w:t>
      </w:r>
    </w:p>
    <w:p>
      <w:r>
        <w:t>Wird ein Asylgesuch im Ausland bei einer schweizerischen Vertretung gestellt, so führt diese mit der asylsuchenden Person in der Regel eine Befragung durch und überweist das Gesuch anschliessend an das BFM (vgl. dazu alt Art. 19 und Art. 20 Abs. 1 AsylG sowie alt Art. 10 Abs. 1 der Asylverordnung 1 vom 11. August 1999 über Verfahrensfragen [AsylV 1, SR 142.311]). Ist die Durchführung einer Befragung nicht möglich, so wird die asylsuchende Person von der Vertretung aufgefordert, ihre Asylgründe schriftlich festzuhalten (alt Art. 10 Abs. 2 AsylV 1).</w:t>
      </w:r>
    </w:p>
    <w:p>
      <w:r>
        <w:rPr>
          <w:b/>
        </w:rPr>
        <w:t>E. 6.2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6.3</w:t>
      </w:r>
    </w:p>
    <w:p>
      <w:r>
        <w:t>Vorliegend wurde auf eine Befragung durch die Botschaft mangels entsprechender Kapazitäten der schweizerischen Botschaft in Khartum verzichtet und den Beschwerdeführerinnen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6.4</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6.5</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6.6</w:t>
      </w:r>
    </w:p>
    <w:p>
      <w:r>
        <w:t>Der Schluss der Vorinstanz, es sei von einer fehlenden Verfolgungssituation der Beschwerdeführerin im Zeitpunkt der (illegalen) Ausreise auszugehen, ist als zutreffend zu erachten. Gemäss neuer Rechtsprechung schliesst eine solche Konstellation die Bewilligung zur Einreise aber von vornherein aus (vgl. zum Ganzen BVGE 2012/ 26 E. 7 S. 519 f.). Ungeachtet dessen ist im Sinne eines obiter dictum festzuhalten, dass es den Beschwerdeführerinnen darüber hinaus aus nachfolgenden Gründen zuzumuten ist, sich weiter im Sudan aufzuhalten, wo sie bisher hinreichenden Schutz vor künftiger Verfolgung erhalten haben. Die Beschwerdeführerin hält sich seit mehr als sechzehn Jahren im Sudan und dabei überwiegend in C.________ auf, was den Schluss zulässt, dass die dortigen Schwierigkeiten nicht unüber­windbar sind. Was die Schwierigkeiten der Beschwerdeführerin mit ihrer muslimischen Familie wegen ihrer vorherigen Partnerschaft mit einem Christen betrifft, so ergeben sich aus den Akten keine konkreten Behelligungen von hinreichender Intensität. Diese Einschätzung wird durch die Tatsache bestätigt, dass sich die Beschwerdeführerin nach Aufenthalt in D.________ mit ihrer Tochter wieder in C.________, wo sich auch ihre Familie befindet, niedergelassen hat. In der Beschwerde gibt die Beschwerdeführerin an, zusammen mit einer befreundeten christlichen Familie weit vom Wohnort ihrer eigenen muslimischen Familie versteckt zu leben. Es ist darauf hinzuweisen, dass die Beschwerdeführerin, sollte sie sich an ihrem derzeitigen Aufenthaltsort nicht mehr hinreichend sicher fühlen und sich die dortige sonstige Lebenssituation verschlechtern, über die Möglichkeit verfügt, sich als registrierter Flüchtling mit ihrer Tochter beim UNHCR zu melden und in dem ihnen zugewiesenen Camp zu leben. Gemäss gesicherten Erkenntnissen ist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Gleiches gilt für Bestrebungen hinsichtlich der Sicherheit in den Flüchtlingscamps (vgl. dazu insbesondere die Mitteilung des UNHCR vom 25. Januar 2013; "UNHCR concern at refugee kidnappings, dis­appearences in eastern Sudan"). Ferner weist die Beschwerdeführerin auch kein Profil auf, welches sie mit erheblicher Wahrscheinlichkeit zum Ziel eines Entführungsversuches machen würde. An dieser Einschätzung vermögen die Argumente in der Beschwerde, welche sich überwiegend in einer Wiederholung der bereits im Rahmen des vorinstanzlichen Verfahrens geltend gemachten Vorbringen erschöpfen, nichts zu ändern.</w:t>
      </w:r>
    </w:p>
    <w:p>
      <w:r>
        <w:rPr>
          <w:b/>
        </w:rPr>
        <w:t>E. 6.7</w:t>
      </w:r>
    </w:p>
    <w:p>
      <w:r>
        <w:t>Zusammenfassend ist festzuhalten, dass vorliegend keine konkreten Hin­weise dafür bestehen, die Beschwerdeführerinnen seien gegenwärtig einer Ge­fährdung ausgesetzt oder hätten eine unmittelbar drohende Deportation nach Eritrea oder eine Entführung durch terroristische Gruppen zu befürch­ten. Schliesslich ist festzustellen, dass keine nahen Verwandten oder Be­zugspersonen der Beschwerdeführerinnen in der Schweiz leben und den Akten auch sonst keine Hinweise auf Anknüpfungspunkte zur Schweiz zu entnehmen sind.</w:t>
      </w:r>
    </w:p>
    <w:p>
      <w:r>
        <w:rPr>
          <w:b/>
        </w:rPr>
        <w:t>E. 7</w:t>
      </w:r>
    </w:p>
    <w:p>
      <w:r>
        <w:t>Die Beschwerdeführerinnen vermochten insgesamt nicht aufzuzeigen, dass sie auf die Schutzgewährung durch die Schweiz angewiesen sind beziehungsweise ihnen gerade die Schweiz den erforderlichen Schutz gewähren muss. Der weitere Verbleib im Sudan ist ihnen nach dem Gesagten zuzumuten und die Vorinstanz hat ihnen zu Recht die Einreise in die Schweiz verweigert und deren Asylgesuche abgelehnt. 8.Aus diesen Erwägungen ergibt sich, dass die angefochtene Verfügung Bun­desrecht nicht verletzt und den rechtserheblichen Sachverhalt richtig und voll­ständig feststellt (Art. 106 Abs. 1 AsylG). Die Beschwerde ist nach dem Gesagten abzuweisen. 9.Bei diesem Ausgang des Verfahrens wären die Kosten grundsätzlich den Beschwerdeführerinnen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