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D-2195/2011 vom 20. Mai 2011</w:t>
      </w:r>
    </w:p>
    <w:p>
      <w:r>
        <w:t>Bundesverwaltungsgericht, 2011-05-20, DE</w:t>
      </w:r>
    </w:p>
    <w:p>
      <w:r>
        <w:rPr>
          <w:b/>
        </w:rPr>
        <w:t xml:space="preserve">Quelle: </w:t>
      </w:r>
      <w:r>
        <w:t>https://mcp.opencaselaw.ch/entscheid/bvger_D-2195_2011</w:t>
      </w:r>
    </w:p>
    <w:p>
      <w:r>
        <w:t>FR: TAF D-2195/2011 du 20 mai 2011</w:t>
      </w:r>
    </w:p>
    <w:p>
      <w:r>
        <w:t>IT: TAF D-2195/2011 del 20 maggio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form- und fristgerecht eingereicht (Art. 108 Abs. 1 AsylG, Art. 105 AsylG i.V.m. Art. 37 VGG und Art. 52 VwVG). Der Beschwerdeführer ist durch die angefochtene Verfügung besonders berührt und hat ein schutzwürdiges Interesse an deren Aufhebung beziehungsweise Änderung, er ist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Vorab ist festzuhalten, dass der Beschwerdeführer den Wortlaut sämtlicher Protokolle mit seiner Unterschrift bestätigt hat und sich deshalb seine Aussagen entgegenhalten lassen muss, zumal den Protokollen keine Übersetzungsschwierigkeiten zu entnehmen sind und der Beschwerdeführer die übersetzenden Personen bei der Kurzbefragung beziehungsweise Anhörung gut verstanden haben will (Akten BFM A 1/11, S. 8, A 7/11, S. 1). Der sinngemäss erhobene Einwand in der Beschwerde, die unsubstanziierten und widersprüchlichen Aussagen seien mit Verweis auf die schwache Bildung des Beschwerdeführers zu relativieren, vermag das Gericht nicht zu überzeugen, zumal die Schilderung von tatsächlich Erlebtem nicht von einer schulischen Bildung oder Leistung abhängt und Asylbewerber unabhängig von ihrer Bildung in aller Regel in der Lage sind, die tatsächlich erlebten Asylgründe in einfachen Worten schlüssig und widerspruchsfrei vorzutragen.</w:t>
      </w:r>
    </w:p>
    <w:p>
      <w:r>
        <w:rPr>
          <w:b/>
        </w:rPr>
        <w:t>E. 5.2</w:t>
      </w:r>
    </w:p>
    <w:p>
      <w:r>
        <w:t>Nach Prüfung der Akten durch das Gericht ist - in Übereinstimmung mit der Vorinstanz - festzuhalten, dass es nicht glaubhaft ist, dass der Beschwerdeführer aus der Volksrepublik China stammt und er dieses Land wegen der geltend gemachten Probleme verlassen musste, weshalb diesbezüglich zur Vermeidung von Wiederholungen vorab auf die ausführlichen und zutreffenden Erwägungen in der angefochtenen Verfügung zu verweisen ist (vgl. Bst. D. vorstehend). In Ergänzung zu den Ausführungen der Vorinstanz ist festzuhalten, dass sich der Beschwerdeführer auch bei der Schilderung der behaupteten Demonstration erheblich widersprochen hat. So machte er anlässlich der Kurzbefragung geltend, er habe bei der Demonstration eine Gruppe angeführt (Akten BFM A 1/11, S. 5), wogegen er bei der Anhörung zu Protokoll gab, er habe während der Demonstration keine Führungsposition innegehabt, er habe einfach mitdemonstriert (Akten BFM A 7/11, S. 4). Zudem sagte er anlässlich der Kurzbefragung aus, bei der Demonstration hätten sie drei Gruppen zu je zehn Personen gebildet (Akten BFM A 1/11, S. 5). Bei der Anhörung brachte er vor, an der Demonstration hätten etwas mehr als zwanzig Personen teilgenommen (Akten BFM A 7/11, S. 4). Gegen die Glaubhaftigkeit der Verfolgungsvorbringen des Beschwerdeführers spricht auch die Tatsache, dass er anlässlich der Kurzbefragung geltend machte, sein Bruder sei zusammen mit zwei anderen während der Demonstration mit erhobenen Armen den Chinesen entgegengelaufen, worauf alle drei von diesen erschossen worden seien (Akten BFM A 1/11, S. 5); im Unterschied dazu gab er bei der Anhörung zuerst zu Protokoll gab, er wisse nicht genau, wie sein Bruder und die zwei anderen nach vorne gegangen seien, und ob sie die Hände oben gehabt hätten oder nicht (Akten BFM A 7/11, S. 5). Erst nachdem dem Beschwerdeführer seine anlässlich der Kurzbefragung gemachten Aussagen vorgehalten worden waren, korrigierte er das zuvor Gesagte (Akten BFM A 7/11, S. 5). Der Beschwerdeführer macht in der Rechtsmittelschrift geltend, er habe tatsächlich in der Volksrepublik China gelebt und dort Probleme gehabt. Übereinstimmend mit der Vorinstanz ist jedoch festzustellen, dass er ganz offensichtlich mit den Gegebenheiten in seinem angeblichen Heimatort D._______ und dessen Umgebung nicht vertraut ist, obwohl er fast sein ganzes Leben dort verbracht haben will (vgl. BFM-Verfügung I 1. S. 3, Bst. D vorstehend). Es besteht für das Gericht kein Grund, an der Einschätzung des Experten zu zweifeln, wonach die Hauptsozialisation des Beschwerdeführers eindeutig nicht im Kreis I._______ in der Provinz F._______ und sehr wahrscheinlich nicht im Autonomen Gebiet Tibet beziehungsweise in der Volksrepublik China stattgefunden hat. Der sinngemässe Einwand des Beschwerdeführers, im vorliegenden Fall sei der Experte nicht genügend kompetent, um seine Herkunft mit grosser Wahrscheinlichkeit zu bestimmen, kann nicht gehört werden (vgl. dazu Werdegang und Qualifikation der sachverständigen Person, Akten BFM A 13/1). Vorliegend rechtfertigt es sich, auf seinen Sachverstand abzustellen, zumal der Beschwerdeführer nichts Konkretes vorbringt, was dessen Qualifikation in Zweifel ziehen könnte. Nicht glaubhaft ist die geltend gemachte chinesische Herkunft des Beschwerdeführers auch deshalb, weil er es bis heute ohne plausible Erklärung unterlassen hat, den Asylbehörden Identitätsdokumente einzureichen, obwohl er mehrfach schriftlich und mündlich auf diese Pflicht aufmerksam gemacht wurde (Art. 8 Abs. 1 AsylG, vgl. dazu Bst. D. vorstehend). Der Beschwerdeführer macht in der Rechtsmittelschrift sowie in der Beschwerdeergänzung geltend, er habe bei der Botschaft der Volksrepublik China in Bern mit Schreiben vom 8. April 2011 um Ausstellung von neuen Identitätspapieren ersucht. Da nicht glaubhaft ist, dass es sich beim Beschwerdeführer um einen chinesischen Staatsbürger handelt, und das an die Botschaft der Volksrepublik China gerichtete Schreiben vom 8. April 2011 wegen seines Inhalts nicht geeignet ist, die Ausstellung neuer Identitätspapiere zu bewirken, kann darauf verzichtet werden, die in Aussicht gestellten Identitätspapiere abzuwarten (antizipierte Beweiswürdigung; BVGE 2008/24 E. 7.2; Entscheidungen und Mitteilungen der [vormaligen] Schweizerischen Asylrekurskommission [EMARK] 2003 Nr. 13 S. 84; Fritz Gygi, Bundesverwaltungsrechtspflege, 2. Aufl., Bern 1983, S. 274). Gestützt auf das vorstehend Ausgeführte ist zu schliessen, dass es sich bei der vom Beschwerdeführer geltend gemachten Verfolgungssituation lediglich um ein Konstrukt handelt.</w:t>
      </w:r>
    </w:p>
    <w:p>
      <w:r>
        <w:rPr>
          <w:b/>
        </w:rPr>
        <w:t>E. 5.3</w:t>
      </w:r>
    </w:p>
    <w:p>
      <w:r>
        <w:t>Das Gericht gelangt daher nach Prüfung der Akten zum Schluss, dass die vom Beschwerdeführer zur Begründung seines Asylgesuchs geltend gemachten Vorbringen den umschriebenen Anforderungen an die Glaubhaftmachung nicht genügen und das BFM die geltend gemachten Asylgründe zu Recht und mit zutreffender Begründung als unglaubhaft beurteilt hat. Da vorliegend der Sachverhalt genügend erstellt ist, ist das Eventualbegehren des Beschwerdeführers, wonach die Akten zur Neubeurteilung an die Vorinstanz zurückzuweisen seien, abzuweisen. Der Beschwerdeführer erfüllt somit die Voraussetzungen zur Zuerkennung der Flüchtlingseigenschaft nicht, weshalb die Vorinstanz das Asylbegehren zu Recht abgelehnt hat. Es erübrigt sich deshalb, auf die weiteren Vorbringen in der Rechtsmitteleingabe näher einzugehen, da sie an obiger Erkenntnis nichts zu ändern vermögen.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vgl. BVGE 2008/34 E. 9.2).</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Grundsätzlich ist von Amtes wegen zu prüfen, ob der Vollzug der Wegweisung nicht zulässig, nicht zumutbar oder nicht möglich ist (Art. 44 Abs. 2 AsylG). Diese Untersuchungspflicht findet jedoch nach Treu und Glauben ihre Grenze an der Mitwirkungspflicht der Asylsuchenden (Art. 8 AsylG), welche auch die Substanziierungslast tragen (Art. 7 AsylG), weshalb es nicht Sache der Asylbehörden sein kann, nach allfälligen Wegweisungshindernissen in hypothetischen Herkunftsländern zu forschen. Im vorliegenden Fall macht der Beschwerdeführer zwar geltend, Staatsangehöriger der Volksrepublik China zu sein. Wie jedoch bereits vorstehend in Erwägung 5.2 festgestellt, ist davon auszugehen, dass der Beschwerdeführer nicht chinesischer Staatsbürger ist. Zudem hat der Beschwerdeführer keine Identitätsdokumente eingereicht, weswegen seine Identität und damit auch seine Staatsangehörigkeit nicht feststeht. Die Ausführungen des Beschwerdeführers bezüglich seiner Reise in die Schweiz sind ebenfalls widersprüchlich und unsubstanziiert ausgefallen, weshalb sie nicht glaubhaft sind. Es ist davon auszugehen, der Beschwerdeführer habe nur unter Verwendung authentischer Identitäts- und Reisepapiere in die Schweiz gelangen können. Der Beschwerdeführer hat deshalb die Folgen seiner mangelhaften Mitwirkung respektive der Verheimlichung seiner wahren Identität und Herkunft zu tragen, indem vermutungsweise davon auszugehen ist, es würden einer Wegweisung in den tatsächlichen Heimatstaat keine landes- oder völkerrechtlichen Vollzugshindernisse im Sinne von Art. 44 Abs. 2 AsylG i.V.m. Art. 83 Abs. 2 - 4 AuG entgegenstehen (vgl. EMARK 2005 Nr. 1 E. 3.2.2. S. 4 f.).</w:t>
      </w:r>
    </w:p>
    <w:p>
      <w:r>
        <w:rPr>
          <w:b/>
        </w:rPr>
        <w:t>E. 8</w:t>
      </w:r>
    </w:p>
    <w:p>
      <w:r>
        <w:t>Die Vorinstanz hat den Vollzug der Wegweisung somit zu Recht als zulässig, zumutbar und möglich erachtet. Nach dem Gesagten fällt eine Anordnung der vorläufigen Aufnahme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10</w:t>
      </w:r>
    </w:p>
    <w:p>
      <w:r>
        <w:t>Bei diesem Ausgang des Verfahrens sind die Kosten dem Beschwerdeführer aufzuerlegen (Art. 63 Abs. 1 und 5 VwVG), auf insgesamt Fr. 600.-- festzusetzen (Art. 1-3 des Reglements vom 21. Februar 2008 über die Kosten und Entschädigungen vor dem Bundesverwaltungsgericht [VGKE, SR 173.320.2]) und mit dem am 23. April 2011 geleisteten Kostenvorschuss in derselben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