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D-2190/2020 vom 20. März 2023</w:t>
      </w:r>
    </w:p>
    <w:p>
      <w:r>
        <w:t>Bundesverwaltungsgericht, 2023-03-20, DE</w:t>
      </w:r>
    </w:p>
    <w:p>
      <w:r>
        <w:rPr>
          <w:b/>
        </w:rPr>
        <w:t xml:space="preserve">Quelle: </w:t>
      </w:r>
      <w:r>
        <w:t>https://mcp.opencaselaw.ch/entscheid/bvger_D-2190_2020</w:t>
      </w:r>
    </w:p>
    <w:p>
      <w:r>
        <w:t>FR: TAF D-2190/2020 du 20 mars 2023</w:t>
      </w:r>
    </w:p>
    <w:p>
      <w:r>
        <w:t>IT: TAF D-2190/2020 del 20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Zeitpunkt gültige Recht (vgl. Abs. 1 der Übergangsbestimmungen zur Änderung des AsylG vom 25. September 2015).</w:t>
      </w:r>
    </w:p>
    <w:p>
      <w:r>
        <w:rPr>
          <w:b/>
        </w:rPr>
        <w:t>E. 1.4</w:t>
      </w:r>
    </w:p>
    <w:p>
      <w:r>
        <w:t>Die Beschwerde ist frist- und formgerecht eingereicht worden (aArt. 108 Abs. 1 AsylG und Art. 52 Abs. 1 VwVG). Der Beschwerdeführer hat am Verfahren vor der Vorinstanz teilgenommen, ist durch die angefochtene Verfügung besonders berührt und hat ein schutzwürdiges Interesse an de- ren Aufhebung beziehungsweise Änderung; er ist daher zur Einreichung der Beschwerde legitimiert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D-2190/2020 Seite 10</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 gründen erhalten zwar kein Asyl, werden jedoch als Flüchtlinge vorläufig aufgenommen. Massgebend ist dabei einzig, ob die heimatlichen Behör- den das Verhalten des Asylsuchenden als staatsfeindlich einstufen und dieser deswegen bei einer Rückkehr in den Heimatstaat eine Verfolgung im Sinne von Art. 3 AsylG befürchten muss. Es bleiben damit die Anforde- rungen an den Nachweis einer begründeten Furcht massgeblich (Art. 3 und Art. 7 AsylG; vgl. zum Ganzen auch BVGE 2009/29 E. 5 1 und 2009/28 E. 7.1).</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November 1950 zum Schutze der Menschenrechte und Grundfreiheiten (EMRK, SR 0.101) und Art. 3 FoK einem Wegweisungsvollzug entgegen.</w:t>
      </w:r>
    </w:p>
    <w:p>
      <w:r>
        <w:rPr>
          <w:b/>
        </w:rPr>
        <w:t>E. 4.1</w:t>
      </w:r>
    </w:p>
    <w:p>
      <w:r>
        <w:t>In ihrer Entscheidung führt die Vorinstanz zunächst aus, dass der er- forderliche zeitliche und kausale Zusammenhang zwischen den geltend gemachten Verfolgungshandlungen (in den Jahren 2008 bis 2015) und der Ausreise nicht bestehe. Zudem sei festzuhalten, dass die angebliche Ver- haftung im Jahr 2013 in keinem Zusammenhang mit der geltend gemach- ten Verfolgung wegen des Verdachts von Verbindungen zu den LTTE stehe. In letzterem Kontext werde insbesondere aus der Freilassung be-</w:t>
      </w:r>
    </w:p>
    <w:p>
      <w:r>
        <w:t>D-2190/2020 Seite 11 reits zwei Tage nach der Inhaftierung im Jahr 2015 deutlich, dass ein sol- cher Verdacht seitens der sri-lankischen Behörden nicht bestehe. Somit sei klar, dass kein logischer und zeitlicher Zusammenhang zwischen den gel- tend gemachten Verhaftungen und der Ausreise bestehe, und daher die Vorbringen des Beschwerdeführers im Hinblick auf Art. 3 AsylG nicht rele- vant seien. Darüber hinaus sei zu beachten, dass der Beschwerdeführer selbst gel- tend mache, nie für die LTTE tätig geworden zu sein und lediglich vor- brachte, tamilischen Flüchtlingen geholfen zu haben. Auch die Tatsache, dass der Beschwerdeführer nach seiner Aussage mit seinem eigenen Rei- sepass ausgereist sei und als Erklärung, wie dies für eine gesuchte Person möglich sei, lediglich auf die Ausreiseorganisation durch den bezahlten Schlepper verwiesen habe, spreche gegen eine Verfolgungsgefahr bei Ausreise. Neben der fehlenden Relevanz für die Asylgewährung seien die Vorbringen zudem nicht ausreichend glaubhaft. Insbesondere sei dabei relevant, dass es Abweichungen in den Vorbringen zwischen der BzP und der Anhörung gebe, dies gelte für die Frage der genauen Umstände der Ausreise ge- nauso wie für die Schilderungen der angeblichen Kooperation mit Mathi- sayan und den sich daraus ergebenden Folgen. Ebenso inkonsistent seien die Vorbringen hinsichtlich der Verwahrung der Tasche von M._______, die bei einer Hausdurchsuchung in seiner Abwesenheit gefunden worden sein soll, und ein verstärktes Interesse am Beschwerdeführer hervorgerufen ha- ben soll. Der Beschwerdeführer habe die Widersprüche zwischen den An- gaben in der BzP und in der Anhörung zu den Asylgründen nicht erklären können. Es sei auch offengeblieben, welche Angaben stimmen würden, da der Beschwerdeführer dies nicht aufgeklärt habe. In Bezug auf diese Ab- weichungen zwischen den Vorbringen sei es nicht glaubhaft, dass er zum Zeitpunkt der BzP so weit von sich im Empfangs- und Verfahrenszentrum O._______ befindlichen Landsleuten beeinflusst worden sei, dass er nicht in der Lage gewesen sei, zu erkennen, wie wichtig es gewesen wäre, seine eigene Fluchtgeschichte zu erzählen. Im Hinblick auf die Glaubhaftigkeit der Vorbringen seien insbesondere die Ausführungen zur Aufbewahrung und zum Auffinden der Tasche unlogisch und ohne Substanz. Es könne dem Beschwerdeführer nicht geglaubt wer- den, dass er eine Tasche eines Bekannten übernommen und diese ver- steckt habe, ohne deren Inhalt zu kennen und ohne sich darüber Gedanken</w:t>
      </w:r>
    </w:p>
    <w:p>
      <w:r>
        <w:t>D-2190/2020 Seite 12 zu machen. Dies insbesondere, wenn man bedenke, dass er selbst ange- geben habe, er habe zu dieser Zeit aus Angst vor einer weiteren Verhaftung versteckt gelebt. Aus diesen Gründen sei es auch nicht glaubhaft, dass das CID nach ihm suche und die geltend gemachte subjektive Furcht vor einer Bedrohung könne ihm insgesamt nicht geglaubt werden. Er sei auch nicht als potentieller Verdächtiger mit LTTE-Verbindungen ge- fährdet, weil er selbst angegeben habe, nie in Verbindung mit den LTTE gestanden zu haben. Allein die Tatsache, dass er tamilischen Personen geholfen habe und selbst Tamile sei, reiche nicht aus, um eine Verfolgungs- gefahr zu begründen. Die nur kurze Dauer der Inhaftierung im Jahr 2015 und die Tatsache, dass er legal mit seinem eigenen Pass habe ausreisen können, sprächen vielmehr dafür, dass er nicht wirklich von den Behörden gesucht werde. Da ihm die Vorbringen hinsichtlich der Gefahr, die aufgrund des Auffindens der aufbewahrten Tasche bei einer Hausdurchsuchung ge- funden worden sein soll, nicht geglaubt werden könne, sei eine Verfol- gungsgefahr im Sinne des Art. 3 AsylG bei Rückkehr nicht gegeben. Es seien auch keine Risikofaktoren im Sinne der Rechtsprechung des Bun- desverwaltungsgerichts gegeben und die Tatsache, dass der Beschwerde- führer nach Ende des Krieges noch fast zehn Jahre in Sri Lanka gelebt habe, spreche dafür, dass er keinem asylrelevanten Risiko bei Rückkehr ausgesetzt sei und auch kein Zusammenhang zwischen seiner Ausreise und den Verfolgungsmassnahmen gegen die tamilische Bevölkerung am Ende des Krieges bestehe. An dieser Einschätzung sei auch angesichts der geänderten Situation nach der Präsidentschaftswahl im Jahr 2019 fest- zuhalten. In dieser Hinsicht habe der Beschwerdeführer ohnehin nichts gel- tend gemacht, so dass eine begründete Furcht vor Verfolgung bei Rück- kehr auch unter diesem Gesichtspunkt nicht bestehe und das Asylgesuch abzulehnen sei.</w:t>
      </w:r>
    </w:p>
    <w:p>
      <w:r>
        <w:rPr>
          <w:b/>
        </w:rPr>
        <w:t>E. 4.2</w:t>
      </w:r>
    </w:p>
    <w:p>
      <w:r>
        <w:t>In seiner Beschwerde wiederholte der Beschwerdeführer im Wesentli- chen die Vorbringen, die er bereits in der Anhörung gemacht hatte. Er prä- zisierte partiell die bereits gemachten Angaben, insbesondere durch wei- tere Details seines Engagements und seiner Hilfe für tamilische Personen in D._______ und C._______ sowie zu den Umständen seiner geltend ge- machten Verhaftungen und Freilassungen. Insbesondere nach der ersten Verhaftung sei er so zugerichtet gewesen, dass ihn seine Grossmutter zu- erst einmal habe gesund pflegen müssen und ihm danach kaum noch er- laubt habe, das Haus zu verlassen. Die schwerste Folter habe er während seiner fünfmonatigen Inhaftierung im Jahr 2010 erlitten. Nach dieser sei</w:t>
      </w:r>
    </w:p>
    <w:p>
      <w:r>
        <w:t>D-2190/2020 Seite 13 seiner Grossmutter und ihm bewusst gewesen, dass das CID ihn nicht in Ruhe lassen würde, weshalb sie sich zur Rückkehr nach C._______ ent- schlossen hätten. Sie seien 2011 nach R._______ an die Adresse (…) B._______ in der Gegend von C._______ gezogen. Dort habe er gelegent- lich als Hilfsarbeiter auf Feldern und Baustellen gearbeitet. Ehrenamtlich habe er für hilfsbedürftige tamilische Personen in singhalesischer Sprache verfasste Dokumente übersetzt, unter anderem auch im Auftrag des Roten Kreuzes. Ab 2012 habe er – neben seiner Tätigkeit als Übersetzer – be- gonnen, im Auftrag von M._______, den er im Jahr 2012 bei einer Kund- gebung wiedergetroffen habe, Waren, wie zum Beispiel alte Kleider, Reis, Kissen und Matten an Flüchtlinge zu verteilen. Nach seiner Verhaftung im Jahr 2013 habe er versucht, im Alltag wieder Fuss zu fassen und gelegent- lich als Hilfsarbeiter gearbeitet sowie seine ehrenamtlichen Tätigkeiten wei- tergeführt. Einmal habe er in dieser Zeit zusammen mit M._______ einen sozial engagierten Politiker namens Mathisayan getroffen. Abgesehen von diesem einem Treffen habe er sich aber bedeckt gehalten. Erst nach der Inhaftierung im April 2015 habe er sich versteckt und sei nur noch selten nach Hause gegangen und habe abwechselnd bei Freunden und Bekann- ten in der Umgebung von C._______ (…) geschlafen. Er habe seine eh- renamtlichen Tätigkeiten ab diesem Zeitpunkt vorsichtig ausgeübt. Ende Mai 2015 sei Mathisayan umgebracht worden. Nach dem Fund der Tasche mit den Dokumenten von M._______ habe er weiter versteckt gelebt. Er habe im (…) 2016 auf Anraten seiner Grossmut- ter geheiratet, da diese fest davon überzeugt gewesen sei, dass die Be- hörden bei einer Heirat von der weiteren Verfolgung des Beschwerdefüh- rers absehen würden und er nach einer Heirat und Familiengründung we- niger Probleme haben würde. Er sei aber trotz der Heirat nicht zur Ruhe gekommen. Unzählige Male seien CID-Beamte bei ihm zu Hause aufge- taucht und hätten seine Grossmutter und seine bei ihr wohnende Ehefrau unter Druck gesetzt. Er habe in ständiger Angst gelebt und die Situation nicht mehr ausgehalten. Ihm sei bewusst geworden, dass ihn das CID – egal, was er tun würde – stets im Visier behalten werde. Er leide bis heute unter der erlittenen Folter. Der Gedanke, ein weiteres Mal gefoltert und ge- demütigt zu werden, habe ihn wahnsinnig gemacht, weshalb er im (…) 2017 sein Heimatland verlassen habe. Er habe zunächst C._______ ver- lassen und sei nach D._______ gereist. Am (…) 2017 sei er mithilfe eines Schleppers von D._______ via S._______ in die T._______ geflogen. Von dort aus sei er auf dem Landweg am 31. Juli 2017 in die Schweiz gelangt, wo er gleichentags ein Asylgesuch gestellt habe. Bis heute suchten zivil- gekleidete Männer auf Motorrädern das Haus seiner Grossmutter in</w:t>
      </w:r>
    </w:p>
    <w:p>
      <w:r>
        <w:t>D-2190/2020 Seite 14 B._______ regelmässig auf. Manchmal umkreisten sie das Haus «nur» mit den Motorrädern, um seiner Grossmutter und seiner Ehefrau Angst einzu- jagen. Manchmal beträten sie das Haus, durchsuchten es, befragten und bedrängten seine Grossmutter und seine Ehefrau. Als Beweismittel legte er der Beschwerde einen Artikel von TamilNet vom 1. Juni 2015 zum Tod des Oppositionspolitikers Mathisayan Sachchitha- nantham bei.</w:t>
      </w:r>
    </w:p>
    <w:p>
      <w:r>
        <w:rPr>
          <w:b/>
        </w:rPr>
        <w:t>E. 4.3</w:t>
      </w:r>
    </w:p>
    <w:p>
      <w:r>
        <w:t>Hinsichtlich des Bestehens der Flüchtlingseigenschaft konstatierte die Vorinstanz in ihrer Vernehmlassung, dass die Beschwerde aus ihrer Sicht keine neuen Argumente oder Beweismittel enthalte und dass der einge- reichte Zeitungsbericht zum Tod des Oppositionspolitikers Mathisayan («Mathisenan») keinen erkennbaren Zusammenhang mit den Vorbringen des Beschwerdeführers habe.</w:t>
      </w:r>
    </w:p>
    <w:p>
      <w:r>
        <w:rPr>
          <w:b/>
        </w:rPr>
        <w:t>E. 4.4</w:t>
      </w:r>
    </w:p>
    <w:p>
      <w:r>
        <w:t>In seiner Replik wies der Beschwerdeführer hinsichtlich der Flüchtlings- eigenschaft erneut auf das Bestehen mehrerer Risikofaktoren für eine Ver- haftung und Folter bei einer allfälligen Rückkehr nach Sri Lanka hin. Dabei sei insbesondere zu beachten, dass sich aus dem ärztlichen Bericht vom (…) ergebe, dass er sichtbare Narben an seinen Fussgelenken aufweise, welche auf die erlittene Folter zurückzuführen seien. Zudem sei besonders hervorzuheben, dass er wegen seiner vermeintlichen Verbindungen zu den LTTE in der Vergangenheit immer wieder ins Visier der sri-lankischen Be- hörden geraten sei und schwere Folter erlitten habe. Dies werde von der Vorinstanz auch nicht bestritten, so dass eine erhebliche Wahrscheinlich- keit bestehe, dass die sri-lankischen Behörden ihn wegen seinen Verbin- dungen zu den LTTE vermerkt hätten und ihm deswegen bei Rückkehr nach Sri Lanka nicht lediglich eine Befragung sondern Folter drohe.</w:t>
      </w:r>
    </w:p>
    <w:p>
      <w:r>
        <w:rPr>
          <w:b/>
        </w:rPr>
        <w:t>E. 4.5</w:t>
      </w:r>
    </w:p>
    <w:p>
      <w:r>
        <w:t>Am 25. Juni 2021 übersandte der Beschwerdeführer eine Behand- lungsbestätigung des Spitals Q._______ vom (…). Die Bestätigung enthielt neben der bestätigten Diagnose einer (…) neu auch die Diagnose einer (…). Mit Schreiben vom 25. April 2022 übersandte er eine Behandlungsbe- stätigung des Spitals Q._______ vom (…) mit der diese Diagnose in dem Sinne angepasst wurde, dass nunmehr eine (…) bestehe.</w:t>
      </w:r>
    </w:p>
    <w:p>
      <w:r>
        <w:rPr>
          <w:b/>
        </w:rPr>
        <w:t>E. 4.6</w:t>
      </w:r>
    </w:p>
    <w:p>
      <w:r>
        <w:t>In seiner weiteren Eingabe vom 10. Mai 2022 weist der Beschwerde- führer darauf hin, dass die erlittene Folter als so schwerwiegend einzustu- fen sei, dass selbst bei Annahme des Nichtbestehens einer Verfolgungs-</w:t>
      </w:r>
    </w:p>
    <w:p>
      <w:r>
        <w:t>D-2190/2020 Seite 15 gefahr bei Rückkehr von «zwingenden Gründen», die auf früheren Verfol- gungen beruhen, im Sinne von Art. 1 C Ziff. 5 Satz 2 des Abkommens vom 28. Juli 1951 über die Rechtsstellung der Flüchtlinge (FK, SR 0.142.30) auszugehen sei. Diese würden eine Anerkennung der Flüchtlingseigen- schaft auch bei Annahme des Wegfalls der Verfolgungsgefahr bei Rück- kehr rechtfertigen. Des Weiteren führte er aus, dass bei einer allfälligen Prüfung der eventualiter geltend gemachten Wegweisungsvollzugshinder- nisse Art. 14 des Übereinkommens vom 10. Dezember 1984 gegen Folter und andere grausame, unmenschliche oder erniedrigende Behandlung oder Strafe (FoK, SR 0.105) zu beachten sei, da bei Rückkehr die von die- ser Norm geforderte Rehabilitation nicht gewährleistet sei. Darüber hinaus stünden in diesem (gesundheitlichen) Kontext auch Art. 3 Konvention vom</w:t>
      </w:r>
    </w:p>
    <w:p>
      <w:r>
        <w:rPr>
          <w:b/>
        </w:rPr>
        <w:t>E. 5.1</w:t>
      </w:r>
    </w:p>
    <w:p>
      <w:r>
        <w:t>Der Beschwerdeführer macht zusammengefasst geltend, wegen ver- meintlicher Tätigkeit für die LTTE mehrfach verhaftet und gefoltert worden zu sein. Er sei ausgereist, um weiteren Nachstellungen und Verhaftungen zu entgehen. Damit macht er neben bereits erlittener Verfolgung nament- lich auch Furcht vor zukünftigen ernsthaften Nachteilen geltend, die an ein asylrelevantes Verfolgungsmotiv anknüpfen und ihm bei einer Rückkehr in die Heimat unmittelbar drohten. Die sich aus Art. 3 AsylG ergebenden Ein- schlussgründe, die völkerrechtskonform im Lichte des Art. 1 A Ziff. 2 FK auszulegen sind (vgl. etwa BVGE 2008/34 E 5.1), müssen kumulativ vor- liegen, damit die Person die Flüchtlingseigenschaft insgesamt erfüllt. Es ist festzustellen, dass hinsichtlich des Beschwerdeführers im Wesentlichen streitig ist, ob bei seiner Ausreise eine Verfolgungsgefahr bestand und ob bei einer allfälligen Rückkehr ein Verfolgungsinteresse seitens der sri-lan- kischen Behörden bestehen würde.</w:t>
      </w:r>
    </w:p>
    <w:p>
      <w:r>
        <w:rPr>
          <w:b/>
        </w:rPr>
        <w:t>E. 5.2.1</w:t>
      </w:r>
    </w:p>
    <w:p>
      <w:r>
        <w:t>Der Beschwerdeführer bringt vor, er sei bei seinen verschiedenen Verhaftungen immer wieder verdächtigt worden, mit den LTTE in Verbin- dung zu stehen und Geld aus dem Ausland für die Unterstützung und Hilfe, die er in D._______ und in C._______ leistete, erhalten zu haben.</w:t>
      </w:r>
    </w:p>
    <w:p>
      <w:r>
        <w:rPr>
          <w:b/>
        </w:rPr>
        <w:t>E. 5.2.2</w:t>
      </w:r>
    </w:p>
    <w:p>
      <w:r>
        <w:t>Die Vorinstanz erkennt insbesondere in der «lediglich» zweitägigen Haft im April 2015 und in der nachfolgend vergangenen Zeitspanne von etwa zwei Jahren bis zur Ausreise im April 2017 einen Nachweis für ein</w:t>
      </w:r>
    </w:p>
    <w:p>
      <w:r>
        <w:t>D-2190/2020 Seite 16 nicht (mehr) bestehendes Interesse am Beschwerdeführer seitens der Be- hörden. Vor diesem Hintergrund wertet sie namentlich das Vorbringen be- treffend die angeblich bei einer Hausdurchsuchung gefundenen Tasche als nicht glaubhaft. Sie misst in der Folge auch den vorgebrachten Verhaftun- gen im Jahr 2013 (im Kontext des Besuchs der Menschenrechtshochkom- missarin der Vereinten Nationen Pillay) und im Jahr 2015 (im Kontext der geltend gemachten Aktivitäten für Mathisayan) keine weitergehende Be- deutung als jene von singulären Ereignissen zu, da diese nicht im Zusam- menhang mit den anderen Tätigkeiten und Verhaftungen des Beschwerde- führers gestanden hätten. Da bis zur Ausreise nach der letzten Verhaftung im April 2015 noch zwei Jahre vergangen seien, fehle es am zeitlichen und kausalen Zusammenhang zwischen drohender Verfolgung und Ausreise. Von daher habe im Zeitpunkt der Ausreise keine objektiv begründete Furcht bestanden, da angesichts des Profils des Beschwerdeführers, der geschilderten legalen Ausreise mit eigenen Dokumenten und des Wider- spruchs beim Ausreisegrund nicht davon auszugehen sei, dass eine Ge- fahr ernsthafter Nachteile im Zeitpunkt der Ausreise gegeben gewesen sei.</w:t>
      </w:r>
    </w:p>
    <w:p>
      <w:r>
        <w:rPr>
          <w:b/>
        </w:rPr>
        <w:t>E. 5.2.3</w:t>
      </w:r>
    </w:p>
    <w:p>
      <w:r>
        <w:t>Glaubhaftmachung bedeutet im Gegensatz zum strikten Beweis ein reduziertes Beweismass und lässt durchaus Raum für gewisse Einwände und Zweifel an den Vorbringen der gesuchstellenden Person (vgl. BVGE 2015/3 E. 6.5.1), aber es kommt entscheidend darauf an, ob die Gründe, die für die Richtigkeit der Vorbringen und der daraus resultierenden Sach- verhaltsdarstellung sprechen, nach einer objektivierten Sichtweise über- wiegen oder nicht. Um dies anzunehmen, ist von zentraler Bedeutung, dass die gesuchstellende Person eine eigene Erlebnisse betreffende, sub- stanziierte, im Wesentlichen widerspruchsfreie und konkrete Schilderung der dargelegten Vorkommnisse abgibt, die durch Korrektheit, Originalität, hinreichende Präzision und innere Übereinstimmung gekennzeichnet ist. Unglaubhaft wird eine Schilderung von Erlebnissen insbesondere bei wechselnden, widersprüchlichen, gesteigerten oder nachgeschobenen Vorbringen. Bei der Beurteilung der Glaubhaftmachung geht es um eine Gesamtbeurteilung aller Elemente, die für oder gegen die Sachverhalts- darstellung seitens der gesuchstellenden Person sprechen. Insbesondere sind dabei die Übereinstimmung bezüglich des wesentlichen Sachverhal- tes, die Substanziiertheit und Plausibilität der Angaben und die persönliche Glaubwürdigkeit von Bedeutung (vgl. BVGE 2012/5 E. 2.2 und 2013/5 E.6.5.1). Glaubhaft ist eine Sachverhaltsdarstellung, wenn die positiven Elemente überwiegen. Für die Glaubhaftmachung reicht es demnach nicht aus, wenn der Inhalt der Vorbringen zwar möglich ist, aber in Würdigung der gesamten Aspekte wesentliche und überwiegende Umstände gegen</w:t>
      </w:r>
    </w:p>
    <w:p>
      <w:r>
        <w:t>D-2190/2020 Seite 17 die vorgebrachte Sachverhaltsdarstellung sprechen (vgl. BVGE 2015/3 E.6.5.1; 2013/11 E. 5.1 und 2010/57 E. 2.3; EMARK 2005 Nr. 21 E. 6.1; 1996 Nr. 27 E. 3c/aa und 1996 Nr. 28 E. 3a).</w:t>
      </w:r>
    </w:p>
    <w:p>
      <w:r>
        <w:rPr>
          <w:b/>
        </w:rPr>
        <w:t>E. 5.2.4</w:t>
      </w:r>
    </w:p>
    <w:p>
      <w:r>
        <w:t>In Beachtung dieses Massstabs erweisen sich die Aussagen des Be- schwerdeführers zu den geltend gemachten Verhaftungen in den Jahren 2008 und 2010 und deren Hintergründe als komplex, substantiiert und le- bensnah. Die entsprechenden Schilderungen fallen dabei insbesondere durch unwesentliche Details, Originalität, innere Übereinstimmung und Präzision auf, insbesondere auch unter Berücksichtigung dessen, dass der Beschwerdeführer nicht chronologisch erzählte, sondern durch die Nach- fragen in der Anhörung immer wieder aufgefordert war, zeitlich hin und her zu springen. Auch wenn es bezüglich der Dauer der Haft zu gewissen Un- stimmigkeiten gekommen ist, vermochte der Beschwerdeführer diese stets auf den gleichen Zeitraum zu datieren. Insgesamt geht das Gericht damit grundsätzlich von der Glaubhaftigkeit der geltend gemachten Schwierig- keiten in D._______ aus. Dass der Beschwerdeführer schildert, nach die- sen zwei Verhaftungen aus D._______ weggezogen und danach weniger im Fokus der Behörden gewesen zu sein, erscheint dabei ebenfalls als schlüssig. Ein solches Verhalten entspricht auch den gerichtsbekannten Ausweichstrategien in D._______ lebender tamilischer Personen. Dement- sprechend ist als glaubhaft gemacht zu erkennen, dass der Beschwerde- führer nach der in D._______ erlittenen Verhaftung und Folter in den Jah- ren 2008 und 2010 mit seiner Grossmutter nach B._______ (C._______) umgezogen ist und zunächst nur sehr niederschwellig tamilischen Perso- nen geholfen hat. Gut nachvollziehbar sind auch die Schilderungen des Beschwerdeführers, dass der Besuch der damaligen Hochkommissarin für Menschenrechte der Vereinten Nationen, Pillay, Hoffnungen bei der tamili- schen Bevölkerung auf eine Besserung ihrer eigenen Lage und auf eine Untersuchung der Situation in Sri Lanka durch die Vereinten Nationen her- vorgerufen habe (vgl. zum Mandat und Ziel des Besuchs die Aussagen der Hochkommissarin Pillay an der Medienkonferenz in Colombo am 31. Au- gust 2013, verfügbar unter: https://www.ohchr.org/en/statements/2013/08/ opening-remarks-un-high-commissioner-human-rights-navi-pillay-press- conference). Die vom Beschwerdeführer geschilderten Vorgänge im Jahr 2013 sind durch Quellen belegt und der Menschenrechtsausschuss der Vereinten Nationen (MRA) hat im Nachgang zu dem Besuch und in den nachfolgenden Berichten zu Sri Lanka auf die damaligen Schwierigkeiten hingewiesen (vgl. etwa Resolution des MRA vom 9. April 2014, A/HRC/RES/25/1: Promoting reconciliation, accountability and human</w:t>
      </w:r>
    </w:p>
    <w:p>
      <w:r>
        <w:t>D-2190/2020 Seite 18 rights in Sri Lanka). Die Vorbringen des Beschwerdeführers über seine da- malige Verhaftung fügen sich ohne weiteres in die Quellenlage ein und seine diesbezüglichen Schilderungen sind auch von einer persönlichen Be- troffenheit getragen. Auch die Unterstützung seitens Mathisayan für die ta- milische Personen und dessen gewaltsamer Tod Ende Mai 2015 sind be- legt. Die in diesem Kontext erfolgte Verhaftung schildert der Beschwerde- führer glaubhaft und den verfügbaren Erkenntnissen entsprechend, wobei er seinen persönlichen Bezug zu diesem Ereignis hinreichend nachvoll- ziehbar darlegt. Die Vorinstanz geht somit fehl, wenn sie dem Beschwer- deführer entgegenhält, es sei kein Bezug zu Mathisayan ersichtlich und dessen Tod habe nichts mit seinen Vorbringen zu tun. Schliesslich spricht für die Glaubhaftigkeit der Vorbringen des Beschwerdeführers, dass er (ausser partiell im Rahmen der BzP) nicht versucht hat, seine Rolle als Helfer für tamilische Personen in D._______ oder in C._______ auszu- schmücken oder zu überhöhen. Angesichts der Vielzahl von gezielten Tö- tungen von tamilischen Personen in Sri Lanka in dieser Zeit (vgl. etwa den Jahresbericht des MRA zu Sri Lanka, A/HRC/46/20 vom 9. Februar 2021 [mit Hinweisen auf die früheren Jahresberichte], insbesondere Ziff. 7 und 9) wäre es für den Beschwerdeführer ein Leichtes gewesen, seinen Vortrag entsprechend zu erweitern, sowohl was seine Vorbringen generell als auch was die konkreten Verhaftungen betrifft. Dass er selbst schildert, dass das Interesse und die Intensität der Verfolgungshandlungen im Laufe der Zeit abgenommen haben und er bei der Verhaftung im Jahr 2015 «lediglich» noch Schläge erlitten hätte, spricht in gleicher Weise für die Glaubhaftigkeit der Vorbringen zu den Inhaftierungen. Von der in der BzP noch geltend gemachten Verhaftung und Folter im Frühjahr 2016 hat er sich schlüssig distanziert, zumal er nachvollziehbar und überzeugend schilderte, warum er sich aufgrund von "Ratschlägen" von Landsleuten zu unzutreffenden Aussagen veranlasst sah. In diesem Kontext ist auch bedeutsam, dass der Beschwerdeführer in der Anhörung seine Vorbringen zum bei Ausreise be- stehenden Verfolgungsrisiko tendenziell abgeschwächt hat.</w:t>
      </w:r>
    </w:p>
    <w:p>
      <w:r>
        <w:rPr>
          <w:b/>
        </w:rPr>
        <w:t>E. 5.2.5</w:t>
      </w:r>
    </w:p>
    <w:p>
      <w:r>
        <w:t>Nicht geglaubt werden kann dem Beschwerdeführer allerdings, dass er eine Tasche mit Dokumenten, die potentiell zur Unterstützung für tamili- sche Personen verwendet werden könnten, im Haus seiner Grossmutter versteckt haben will. Dieser Vorgang erscheint im Lichte des damit verbun- denen Risikos für sich aber auch für seine Familienangehörigen und im Kontext seiner Vorbringen zu seiner niederschwelligen Rolle nicht hinrei- chend plausibel und ist ein erster Hinweis auf eine nicht bestehende Ver- folgungsgefahr bei Ausreise. Im Sinne einer Gesamtbetrachtung aller</w:t>
      </w:r>
    </w:p>
    <w:p>
      <w:r>
        <w:t>D-2190/2020 Seite 19 Glaubhaftigkeitsindizien erscheint die vom Beschwerdeführer geltend ge- machte weiter bestehende Verfolgungsgefahr kaum als glaubhaft. Bereits 2013 wie auch 2015 verbrachte der Beschwerdeführer nur kurze Zeit in Haft und wurde offenbar ohne weitere Auflagen entlassen. Sodann schil- dert der Beschwerdeführer für die Zeitspanne zwischen der letzten Inhaf- tierung im April 2015 und der Ausreise im April 2017 mannigfaltige Kontakte mit den Behörden. Unter anderem hat er bei seiner Heirat und bei der Or- ganisation der Ausreise, die mit seinem eigenen, im Jahr 2017 ausgestell- ten Pass erfolgte, direkt Kontakt mit den sri-lankischen Behörden aufge- nommen und deren Dienstleistungen in Anspruch genommen, was sich nicht in die Schilderungen einfügt, er habe versteckt gelebt, weil ständig nach ihm gesucht worden sei. Nach dem Gesagten wird deutlich, dass der notwendige zeitliche und kausale Zusammenhang zwischen den erlittenen Verhaftungen und der Ausreise nicht bestanden hat.</w:t>
      </w:r>
    </w:p>
    <w:p>
      <w:r>
        <w:rPr>
          <w:b/>
        </w:rPr>
        <w:t>E. 5.2.6</w:t>
      </w:r>
    </w:p>
    <w:p>
      <w:r>
        <w:t>Als Zwischenergebnis ist festzuhalten, dass das Gericht von der Glaubhaftigkeit der zwischen 2008 und 2015 geltend gemachten Inhaftie- rungen ausgeht, diese jedoch keinen hinlänglichen Kausalzusammenhang zur Ausreise aufweisen. Im Zeitpunkt der Ausreise aus Sri Lanka im April 2017 bestand keine begründete Furcht, dass sich mit beachtlicher Wahr- scheinlichkeit und in absehbarer Zukunft weitere Verfolgungsmassnahmen verwirklichen würden.</w:t>
      </w:r>
    </w:p>
    <w:p>
      <w:r>
        <w:rPr>
          <w:b/>
        </w:rPr>
        <w:t>E. 5.3.1</w:t>
      </w:r>
    </w:p>
    <w:p>
      <w:r>
        <w:t>In einem zweiten Schritt gilt es zu prüfen, wie sich die Situation nach der Ausreise des Beschwerdeführers im April 2017 – unter Einbezug der glaubhaften Vorgeschichte – im heutigen Zeitpunkt des Entscheids dar- stellt und ob subjektive Nachfluchtgründe bestehen (vgl. Referenzurteil BVGer E-1866/2015 vom 15. Juli 2016 E. 8.5.6).</w:t>
      </w:r>
    </w:p>
    <w:p>
      <w:r>
        <w:rPr>
          <w:b/>
        </w:rPr>
        <w:t>E. 5.3.2</w:t>
      </w:r>
    </w:p>
    <w:p>
      <w:r>
        <w:t>Im Referenzurteil E-1866/2015 hat das Bundesverwaltungsgericht eine Analyse der Situation von Rückkehrenden nach Sri Lanka vorgenom- men und festgestellt, dass aus Europa respektive der Schweiz zurückkeh- rende tamilische Asylsuchende nicht generell einer ernstzunehmenden Gefahr von Verhaftung und Folter ausgesetzt seien (vgl. a.a.O., E. 8.3). Das Gericht orientiert sich bei der Beurteilung des Risikos von Rückkeh- renden, Opfer ernsthafter Nachteile in Form von Verhaftung und Folter zu werden, an verschiedenen Risikofaktoren. Dabei handelt es sich um das Vorhandensein einer tatsächlichen oder vermeintlichen, aktuellen oder ver- gangenen Verbindung zu den LTTE, um Teilnahme an exilpolitischen re- gimekritischen Handlungen und um Vorliegen früherer Verhaftungen durch</w:t>
      </w:r>
    </w:p>
    <w:p>
      <w:r>
        <w:t>D-2190/2020 Seite 20 die sri-lankischen Behörden, üblicherweise im Zusammenhang mit einer tatsächlichen oder auch bloss vermuteten Verbindung zu den LTTE (sog. stark risikobegründende Faktoren, vgl. a.a.O., E. 8.4.1 – 8.4.3). Einem ge- steigerten Risiko, genau befragt und überprüft zu werden, unterliegen aus- 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 sikofaktoren eine asylrechtlich relevante Gefährdung der betreffenden Per- son ergeben. Dabei zieht es in Betracht, dass insbesondere jene Rückkeh- renden eine begründete Furcht vor ernsthaften Nachteilen im Sinne von Art. 3 AsylG haben, denen seitens der sri-lankischen Behörden zugeschrie- ben wird, dass sie bestrebt seien, den tamilischen Separatismus wieder- aufleben zu lassen (vgl. a.a.O., E. 8.5.1). An dieser Einschätzung vermag auch die aktuelle – als volatil zu bezeich- nende – Lage in Sri Lanka nichts zu ändern. Das Bundesverwaltungsge- richt ist sich der Veränderungen in Sri Lanka bewusst, beobachtet die Ent- wicklungen aufmerksam und berücksichtigt diese bei seiner Entscheidfin- dung. Es gibt allerdings zum heutigen Zeitpunkt keinen Grund zur An- nahme, dass in Sri Lanka ganze Bevölkerungsgruppen kollektiv einer Ver- folgungsgefahr ausgesetzt wären, gleichzeitig kann aber auch nicht von einer Verbesserung der Situation ausgegangen werden, so dass eine Prü- fung im Einzelfall erfolgen muss.</w:t>
      </w:r>
    </w:p>
    <w:p>
      <w:r>
        <w:rPr>
          <w:b/>
        </w:rPr>
        <w:t>E. 5.3.3</w:t>
      </w:r>
    </w:p>
    <w:p>
      <w:r>
        <w:t>Dazu ist zunächst anzumerken, dass der Beschwerdeführer für die Zeit nach seiner Übersiedlung nach B._______, im Wesentlichen singuläre Ereignisse beschreibt. Weder die Verhaftung anlässlich des Besuch der UN-Menschenrechtshochkommissarin Pillay, noch die Verhaftung im Kon- text der Aufklärung der Rolle von Mathisayan und des Engagement des Beschwerdeführers bei der Verteilung von Lebensmitteln und Geld an ta- milische Personen in C._______ stellen Ereignisse dar, die ohne weiteren Kontext für sich genommen eine Annahme einer Verfolgungsgefahr bei Rückkehr begründen könnten (vgl. ebenso etwa Urteile des Bundesverwal- tungsgerichts E-4795/2017 vom 22. Juli 2021 E.6; E-2717/2020 vom 13. Oktober 2021 E. 6 und 7 und D-5610/2017 vom 25. November 2021 E.7.2). Alleine aus dem Abnehmen der Intensität der Verfolgungshandlungen und Bedrohungsszenarien vor der Ausreise auf die Sicherheit des Beschwer- deführers bei einer potentiellen Rückkehr nach Sri Lanka zu schliessen,</w:t>
      </w:r>
    </w:p>
    <w:p>
      <w:r>
        <w:t>D-2190/2020 Seite 21 greift jedoch zu kurz. Der Beschwerdeführer hat den vorstehenden Erwä- gungen gemäss schon in den Jahren 2008 und 2010 zwei Inhaftierungen im Zusammenhang mit Unterstützung der LTTE erlitten und macht auch Foltererfahrungen geltend. Das SEM hat diese Aspekte bei der Prüfung des Risikoprofils völlig ausser Acht gelassen, da es in seinen Erwägungen zur Flüchtlingseigenschaft auf die Ereignisse vor 2013 in keiner Weise Be- zug nimmt. Damit wird die Vorinstanz jedoch den gesamten Vorbringen, die eine andauernde niederschwellige Hilfe für Personen tamilischer Ethnie seitens des Beschwerdeführers seit 2007/2008 beziehungsweise einen la- tenten entsprechenden Verdacht der Sicherheitsbehörden darlegen, nicht gerecht. In dieser Hinsicht wirkt sich die glaubhaft gemachte Verfolgung, die sich in den Jahren 2008 bis 2015 manifestiert hat, auch auf die Prüfung der potentiellen Verfolgungsgefahr bei einer allfälligen Rückkehr aus und ist somit bei der Gesamtwürdigung als zentrales Element mit zu berück- sichtigen.</w:t>
      </w:r>
    </w:p>
    <w:p>
      <w:r>
        <w:rPr>
          <w:b/>
        </w:rPr>
        <w:t>E. 5.3.4</w:t>
      </w:r>
    </w:p>
    <w:p>
      <w:r>
        <w:t>Zwar war der Beschwerdeführer im Zeitpunkt seiner Ausreise aus Sri Lanka im Jahr 2017, wie oben dargelegt, nicht flüchtlingsrelevant gefährdet. Im heutigen Zeitpunkt, im Zusammenhang mit einer Rückkehr nach jahrelangem Aufenthalt in der Schweiz, kann sich die ehemalige Gefährdungslage wegen seiner von den Behörden vermuteten LTTE- Verbindungen indessen wieder akzentuieren. Gerade dass er kurz nach Kriegsende bei der Ermöglichung der Ausreise für tamilische Personen geholfen hat, könnte nach einer Rückkehr aus der Schweiz – verbunden mit der Tatsache eines jahrelangen Aufenthalts in einem Land mit einer bedeutenden tamilischen Diaspora – wieder an Bedeutung gewinnen. Obwohl keine Hinweise vorliegen, dass der Beschwerdeführer sich im Exil politisch engagiert hat, muss die Wahrscheinlichkeit einer künftigen Verfolgung als erheblich gelten, weil er aus Sicht der sri-lankischen Behörden wegen der früheren Verhaftungen im Kontext mit LTTE- Aktivitäten mit hoher Wahrscheinlichkeit als Bedrohung wahrgenommen werden würde. Da er auch Narben am linken Fussgelenk aufweist und ohne gültige Identitätspapiere nach Sri Lanka zurückkehren würde, sind weitere – wenn auch eher schwache – risikoerhöhende Faktoren vorhanden, die bei einer Befragung anlässlich einer Einreise nach Sri Lanka auffallen würden. Im Zusammenspiel sind diese Faktoren geeignet, ein besonderes behördliches Interesse bei einer allfälligen Rückkehr des Beschwerdeführers hervorzurufen.</w:t>
      </w:r>
    </w:p>
    <w:p>
      <w:r>
        <w:rPr>
          <w:b/>
        </w:rPr>
        <w:t>E. 5.3.5</w:t>
      </w:r>
    </w:p>
    <w:p>
      <w:r>
        <w:t>Bei gesamthafter Würdigung aller wesentlichen Umstände, so insbe- sondere der erlittenen Haft im Zusammenhang mit der ihm unterstellten</w:t>
      </w:r>
    </w:p>
    <w:p>
      <w:r>
        <w:t>D-2190/2020 Seite 22 Unterstützung der LTTE, der dabei erlebten Übergriffe seitens des CID so- wie des Risikos tamilischer Rückkehrender nach langjährigem Aufenthalt in der Schweiz, bei der Einreise verhaftet und allfälligen Misshandlungen ausgesetzt zu werden, ist die subjektive Furcht des Beschwerdeführers, im Falle seiner Rückkehr nach Sri Lanka einer asylrechtlich relevanten Ge- fährdung ausgesetzt zu werden, folglich auch objektiv als nachvollziehbar zu bezeichnen (so auch etwa Urteil des Bundesverwaltungsgericht D- 3468/2017 vom 17. Oktober 2018 E. 6.5). Eine begründete Furcht des Be- schwerdeführers vor zukünftigen flüchtlingsrelevanten Nachteilen – im Sinne subjektiver Nachfluchtgründe – ist daher zu bejahen, zumal die Schwelle zur Annahme begründeter Furcht bei Personen, die in der Ver- gangenheit bereits Opfer von Verfolgungen geworden waren, herabgesetzt ist (vgl. BVGE 2010/9 E. 5.2). Eine Gesamtbetrachtung aller Aspekte des vorliegenden Einzelfalls ergibt demnach eine konkrete Gefahr weiterer Re- pressalien bei einer potentiellen Rückkehr, so dass ihm persönlich im Falle einer Rückkehr nach Sri Lanka ernsthafte Nachteile im Sinne von Art. 3 AsylG drohen würden.</w:t>
      </w:r>
    </w:p>
    <w:p>
      <w:r>
        <w:rPr>
          <w:b/>
        </w:rPr>
        <w:t>E. 5.4</w:t>
      </w:r>
    </w:p>
    <w:p>
      <w:r>
        <w:t>Nach dem Gesagten ist die Flüchtlingseigenschaft des Beschwerde- führers infolge des Vorliegens von subjektiven Nachfluchtgründen zu beja- hen. Die Asylberechtigung bleibt dem Beschwerdeführer indes aufgrund der Ausschlussklausel von Art. 54 AsylG verwehrt; das Asylgesuch wurde im Ergebnis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aus der Schweiz wurde demnach in Anwendung von Art. 44 AsylG ebenfalls zu Recht angeordnet (vgl. BVGE 2013/37 E. 4.4 und 2009/50 E. 9, je m.w.H.).</w:t>
      </w:r>
    </w:p>
    <w:p>
      <w:r>
        <w:rPr>
          <w:b/>
        </w:rPr>
        <w:t>E. 6.3</w:t>
      </w:r>
    </w:p>
    <w:p>
      <w:r>
        <w:t>Der Vollzug der Wegweisung erweist sich jedoch mit Blick auf das Ge- bot des Non-Refoulement (Art. 5 AsylG) als unzulässig, da davon ausge- gangen werden muss, dass er im Falle seiner Rückkehr ins Heimatland mit beachtlicher Wahrscheinlichkeit einer menschenrechtswidrigen Behand- lung ausgesetzt wäre.</w:t>
      </w:r>
    </w:p>
    <w:p>
      <w:r>
        <w:t>D-2190/2020 Seite 23</w:t>
      </w:r>
    </w:p>
    <w:p>
      <w:r>
        <w:rPr>
          <w:b/>
        </w:rPr>
        <w:t>E. 7</w:t>
      </w:r>
    </w:p>
    <w:p>
      <w:r>
        <w:t>Die Beschwerde ist folglich gutzuheissen, soweit die Anerkennung der Flüchtlingseigenschaft und die Feststellung der Unzulässigkeit des Weg- weisungsvollzugs beantragt wurden. Soweit die Gewährung von Asyl und Aufhebung der Wegweisung beantragt wurden, ist die Beschwerde abzu- weisen. Die angefochtene Verfügung ist demnach in den Dispositivziffern 1, 4 und 5 aufzuheben und das SEM ist anzuweisen, den Beschwerdefüh- rer als Flüchtling vorläufig aufzunehmen.</w:t>
      </w:r>
    </w:p>
    <w:p>
      <w:r>
        <w:rPr>
          <w:b/>
        </w:rPr>
        <w:t>E. 8.1</w:t>
      </w:r>
    </w:p>
    <w:p>
      <w:r>
        <w:t>Die Kosten des Beschwerdeverfahrens und die Parteientschädigung sind grundsätzlich nach dem Verhältnis von Obsiegen und Unterliegen dem Beschwerdeführer aufzuerlegen beziehungsweise zuzusprechen (Art. 63 Abs. 1 und Art. 64 Abs. 1 VwVG). Bei der Verfahrenskonstellation wie der vorliegenden (Abweisung der Beschwerde betreffend Asylgewährung und Anordnung der Wegweisung, Gutheissung betreffend Anerkennung der Flüchtlingseigenschaft und betreffend den Wegweisungsvollzug) wird praxisgemäss ein Obsiegen zu zwei Dritteln angenommen.</w:t>
      </w:r>
    </w:p>
    <w:p>
      <w:r>
        <w:rPr>
          <w:b/>
        </w:rPr>
        <w:t>E. 8.2</w:t>
      </w:r>
    </w:p>
    <w:p>
      <w:r>
        <w:t>Weil der Beschwerdeführer somit teilweise (zu zwei Dritteln) obsiegt hat, wären ihm reduzierte Verfahrenskosten in der Höhe von einem Drittel der Gesamtkosten aufzuerlegen. (Art. 63 Abs. 1 und 5 VwVG; Art. 1–3 des Reglements vom 21. Februar 2008 über die Kosten und Entschädigungen vor dem Bundesverwaltungsgericht [VGKE, SR 173.320.2]). Nachdem ihm aber die unentgeltliche Prozessführung gemäss Art. 65 Abs. 1 VwVG ge- währt wurde, ist von der Kostenerhebung abzusehen, zumal nicht ersicht- lich ist, dass der Beschwerdeführer nicht mehr prozessual bedürftig wäre.</w:t>
      </w:r>
    </w:p>
    <w:p>
      <w:r>
        <w:rPr>
          <w:b/>
        </w:rPr>
        <w:t>E. 8.3</w:t>
      </w:r>
    </w:p>
    <w:p>
      <w:r>
        <w:t>Im Umfang des Obsiegens zu zwei Dritteln ist dem Beschwerdeführer zu Lasten der Vorinstanz eine entsprechend reduzierte Entschädigung für die ihm erwachsenen notwendigen Kosten zuzusprechen (Art. 64 Abs. 1 VwVG i.V.m. Art. 37 VGG). Seine Rechtsvertreterin hat mit Eingabe vom</w:t>
      </w:r>
    </w:p>
    <w:p>
      <w:r>
        <w:rPr>
          <w:b/>
        </w:rPr>
        <w:t>E. 8.4</w:t>
      </w:r>
    </w:p>
    <w:p>
      <w:r>
        <w:t>Soweit der Beschwerdeführer im Beschwerdeverfahren unterlegen ist, ist die amtliche Rechtsvertretung durch das Bundesverwaltungsgericht zu entschädigen. Bei der Bemessung des Honorars wird nur der notwendige Aufwand entschädigt (vgl. Art. 8 VGKE), und die Rechtsvertretung wurde vom Gericht in der Zwischenverfügung vom 11. Juni 2020 über die in der Regel angewendeten Stundenansätze informiert. Das amtliche Honorar ist mit einem Stundenansatz von Fr. 220.– zu berechnen und somit vorliegend auf (gerundet) Fr. 1339.– (inklusive ein Drittel der Auslagen und Mehrwert- steuer) festzusetzen.</w:t>
      </w:r>
    </w:p>
    <w:p>
      <w:r>
        <w:t>(Dispositiv nächste Seite)</w:t>
      </w:r>
    </w:p>
    <w:p>
      <w:r>
        <w:t>D-2190/2020 Seite 25</w:t>
      </w:r>
    </w:p>
    <w:p>
      <w:r>
        <w:rPr>
          <w:b/>
        </w:rPr>
        <w:t>E. 10</w:t>
      </w:r>
    </w:p>
    <w:p>
      <w:r>
        <w:t>Mai 2022 eine aktualisierte Kostennote eingereicht. Darin beziffert sie ihren zeitlichen Gesamtaufwand für das Verfahren mit 17 Stunden, bean- tragt einen Stundenansatz von Fr. 250.–, macht Auslagen von Fr. 185.20 geltend und weist auf die bestehende Mehrwertsteuerpflicht hin. Der tat- sächlich in der Honorarnote enthaltene zeitliche Aufwand betrug 16 Stun- den 20 Minuten und scheint als angemessen, die geltend gemachten Kos- ten als hinreichend substanziiert. Aufgrund des teilweisen Obsiegens des Beschwerdeführers hat die Vorinstanz eine praxisgemäss um ein Drittel reduzierte Entschädigung zu entrichten. Die Parteientschädigung, die</w:t>
      </w:r>
    </w:p>
    <w:p>
      <w:r>
        <w:t>D-2190/2020 Seite 24 durch das SEM zu vergüten ist, ist demzufolge auf (gerundet) Fr. 3044.– (inklusive zwei Drittel der Auslagen und Mehrwertsteuer)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