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D-2190/2009 vom 18. August 2010</w:t>
      </w:r>
    </w:p>
    <w:p>
      <w:r>
        <w:t>Bundesverwaltungsgericht, 2010-08-18, FR</w:t>
      </w:r>
    </w:p>
    <w:p>
      <w:r>
        <w:rPr>
          <w:b/>
        </w:rPr>
        <w:t xml:space="preserve">Quelle: </w:t>
      </w:r>
      <w:r>
        <w:t>https://mcp.opencaselaw.ch/entscheid/bvger_D-2190_2009</w:t>
      </w:r>
    </w:p>
    <w:p>
      <w:r>
        <w:t>FR: TAF D-2190/2009 du 18 août 2010</w:t>
      </w:r>
    </w:p>
    <w:p>
      <w:r>
        <w:t>IT: TAF D-2190/2009 del 18 agosto 2010</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w:t>
      </w:r>
    </w:p>
    <w:p>
      <w:r>
        <w:rPr>
          <w:b/>
        </w:rPr>
        <w:t>E. 1.2</w:t>
      </w:r>
    </w:p>
    <w:p>
      <w:r>
        <w:t>La recourante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il n'est pas possible d'accorder le moindre crédit aux déclarations de la recourante. En effet, le récit qu'elle a livré s'agissant des motifs à l'origine de sa demande d'asile en Suisse est contraire aux faits, inconsistant, contradictoire et, partant, ne saurait refléter la réalité. En outre, son recours ne contient aucun argument ou moyen de preuve de nature à remettre en cause l'analyse pertinente effectuée par l'autorité de première instance dans sa décision du 2 mars 2009. Notamment, la recourante était domiciliée à Yopougon, un quartier populaire d'Abidjan, tant selon son certificat de nationalité ivoirienne, délivré le [...] 2006 par le Tribunal de première instance, que selon son attestation d'identité délivrée le [...] 2007 par l'ONI sur la base de ce certificat, de son extrait de naissance et de la carte nationale d'identité de son père. Or il est exclu que ces autorités aient inscrit un domicile sans en vérifier l'exactitude. Force est donc de constater, au même titre que l'ODM, que la recourante avait son domicile légal à Abidjan, depuis le [...] 2006 au plus tard. Dans ces conditions, il n'est pas crédible qu'elle n'ait jamais quitté la ville de Man et sa région jusqu'en décembre 2007 (cf. le pv de l'audition du 7 novembre 2008, questions 79 s., p. 8), ni qu'elle ait épousé son second mari et vécu avec lui dans cette ville jusqu'à son départ pour Abidjan en mai 2007, ni en conséquence qu'elle ait été victime de mauvais traitements, à l'origine de sa demande de protection en Suisse, de la part de cet époux. Des contradictions renforcent encore le caractère invraisemblable des motifs d'asile de la recourante. Outre le fait qu'elle n'a déposé aucun moyen de preuve de nature à rendre crédible ses déclarations, qu'il s'agisse en particulier de l'existence de ses deux mariages et de la mort de son premier époux, elle a présenté un discours contradictoire et peu clair. Notamment, elle aurait épousé son second mari le 1er décembre 2007 (cf. le pv de l'audition du 9 juin 2008, ch. 6, p. 2), deux semaines plus tard (cf. le même pv, ch. 15, p. 4), ou encore six semaines plus tard (cf. le pv de l'audition du 7 novembre 2008, question 108, p. 11, en relation avec la question 125, p. 13). Enfin, les éléments d'invraisemblance relevés ci-dessus, en particulier le fait que la recourante avait manifestement son domicile légal à Abidjan plusieurs années avant son départ du pays, ne sauraient être expliqués, comme elle le soutient dans son recours, par un quelconque traumatisme, ni par un bagage intellectuel déficient. A cet égard, le Tribunal relève que la recourante a toujours déclaré que le contenu des procès-verbaux des auditions correspondait à ses propos et n'a pas allégué souffrir, lors de celles-ci, d'un quelconque trouble dans sa santé psychique de nature à altérer gravement sa capacité de discernement. De surcroît, dans cette hypothèse, elle n'aurait pas attendu mars 2009, soit dix mois après son arrivée en Suisse, pour consulter un thérapeute (cf. let. G et I supra).</w:t>
      </w:r>
    </w:p>
    <w:p>
      <w:r>
        <w:rPr>
          <w:b/>
        </w:rPr>
        <w:t>E. 3.2</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Dans le cas contraire, l'ODM règle les conditions de résidence conformément à l'art. 83 de la loi fédérale du 16 décembre 2005 sur les étrangers (LEtr, RS 142.20).</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 cf. également arrêts de la Cour européenne des droits de l'homme en l'affaire F.H. c. Suède du 20 janvier 2009, requête no 32621/06, et en l'affaire Saadi c. Italie du 28 février 2008, requête no 37201/06).</w:t>
      </w:r>
    </w:p>
    <w:p>
      <w:r>
        <w:rPr>
          <w:b/>
        </w:rPr>
        <w:t>E. 6.4</w:t>
      </w:r>
    </w:p>
    <w:p>
      <w:r>
        <w:t>En l'occurrence, la recourante n'a pas établi qu'un tel risque pèse sur elle (cf. consid. 3 supra).</w:t>
      </w:r>
    </w:p>
    <w:p>
      <w:r>
        <w:rPr>
          <w:b/>
        </w:rPr>
        <w:t>E. 6.5</w:t>
      </w:r>
    </w:p>
    <w:p>
      <w:r>
        <w:t>Dès lors, l'exécution de son renvoi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no 24 consid. 10.1 p. 215 et jurisp. cit.).</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7.3</w:t>
      </w:r>
    </w:p>
    <w:p>
      <w:r>
        <w:t>En l'espèce, la Côte d'Ivoire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effet, dans un arrêt récent (ATAF 2009/41 consid. 7, spéc. consid. 7.10 et 7.11), le Tribunal a procédé à une analyse détaillée de la situation en Côte d'Ivoire et a livré ses conclusions quant à la question de l'exigibilité de l'exécution du renvoi. Il a estimé que, sous réserve d'une appréciation de cas en cas prenant en compte un certain nombre de critères (état de santé, formation professionnelle, réseau social et familial, possibilité de réinstallation), l'exécution du renvoi est raisonnablement exigible dans le sud et à l'est du pays, notamment dans les grands centres urbains de ces régions, tels Abidjan, Yamoussoukro et San Pedro. En effet, compte tenu de la présence de toutes les ethnies du pays dans les grandes villes et du brassage important de la population, les conflits intercommunautaires sont moins présents et toute personne peut y trouver des membres de son ethnie susceptibles de lui apporter un soutien de tout genre. En outre, compte tenu de l'importance accordée au réseau familial et social dans les pays de l'Afrique de l'ouest, il est hautement probable que les Ivoiriens qui ont transité par une grande ville avant leur départ y ont de la famille au sens large, voire des relations à même de leur apporter un soutien et une possibilité d'hébergement en cas de retour.</w:t>
      </w:r>
    </w:p>
    <w:p>
      <w:r>
        <w:rPr>
          <w:b/>
        </w:rPr>
        <w:t>E. 7.4</w:t>
      </w:r>
    </w:p>
    <w:p>
      <w:r>
        <w:t>En l'espèce, et au vu de la jurisprudence mentionnée ci-dessus, il ne peut être exigée de A._______ qu'elle retourne s'installer dans la région des Dix-huit Montagnes, où elle est née. En revanche, il convient de rappeler que la prénommée a vécu à Abidjan depuis [...] 2006 au plus tard (cf. consid. 3.1 § 2 ci-dessus) et doit manifestement y bénéficier d'un important réseau social ou familial. En conséquence, il peut être exigé d'elle qu'elle retourne dans cette agglomération, dès lors qu'aucun élément du dossier ne permet d'admettre qu'elle serait livrée à elle-même et vivrait dans le dénuement. Il lui sera loisible, le cas échéant, de requérir un micro-crédit pour l'aider à financer une lucrative propre à lui assurer une autonomie financière (cf. ATAF 2009/41 consid. 7.9.4 et 7.12). Enfin, le rapport médical requis (cf. let. J et M supra) et par ailleurs annoncé (cf. let. L supra) n'a pas été fourni. Par conséquent, le Tribunal est en droit de conclure que la recourante ne souffre plus de problèmes de santé de nature à faire obstacle à l'exécution de son renvoi. Au demeurant, il sied de relever que l'intéressée pourrait recevoir des soins adéquats dans son pays d'origine (cf. ATAF 2009/41 consid. 7.12.2).</w:t>
      </w:r>
    </w:p>
    <w:p>
      <w:r>
        <w:rPr>
          <w:b/>
        </w:rPr>
        <w:t>E. 7.5</w:t>
      </w:r>
    </w:p>
    <w:p>
      <w:r>
        <w:t>Pour ces motifs, l'exécution du renvoi doit être considérée comme raisonnablement exigible.</w:t>
      </w:r>
    </w:p>
    <w:p>
      <w:r>
        <w:rPr>
          <w:b/>
        </w:rPr>
        <w:t>E. 8</w:t>
      </w:r>
    </w:p>
    <w:p>
      <w:r>
        <w:t>Enfin, la recourante est tenue de collaborer à l'obtention de documents de voyage lui permettant de quitter la Suisse (cf. art. 8 al. 4 LAsi).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fixés à Fr. 600.-,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