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D-218/2018 vom 22. Januar 2018</w:t>
      </w:r>
    </w:p>
    <w:p>
      <w:r>
        <w:t>Bundesverwaltungsgericht, 2018-01-22, DE</w:t>
      </w:r>
    </w:p>
    <w:p>
      <w:r>
        <w:rPr>
          <w:b/>
        </w:rPr>
        <w:t xml:space="preserve">Quelle: </w:t>
      </w:r>
      <w:r>
        <w:t>https://mcp.opencaselaw.ch/entscheid/bvger_D-218_2018</w:t>
      </w:r>
    </w:p>
    <w:p>
      <w:r>
        <w:t>FR: TAF D-218/2018 du 22 janvier 2018</w:t>
      </w:r>
    </w:p>
    <w:p>
      <w:r>
        <w:t>IT: TAF D-218/2018 del 22 gennaio 2018</w:t>
      </w:r>
    </w:p>
    <w:p>
      <w:pPr>
        <w:pStyle w:val="Heading2"/>
      </w:pPr>
      <w:r>
        <w:t>Regeste</w:t>
      </w:r>
    </w:p>
    <w:p>
      <w:r>
        <w:t>Vollzug der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d.h.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w:t>
      </w:r>
    </w:p>
    <w:p>
      <w:r>
        <w:t>Die vorliegende Beschwerde richtet sich ausschliesslich gegen die Anordnung der Wegweisung und deren Vollzug. Die Dispositivziffern 1 (Verneinung der Flüchtlingseigenschaft) und 2 (Ablehnung des Asylgesuchs) sind mangels Anfechtung in Rechtskraft erwachsen.</w:t>
      </w:r>
    </w:p>
    <w:p>
      <w:r>
        <w:rPr>
          <w:b/>
        </w:rPr>
        <w:t>E. 4</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somit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Nach Art. 83 Abs. 3 AuG ist der Vollzug nicht zulässig, wenn völkerrechtliche Verpflichtungen der Schweiz eine Weiterreise der Ausländerin oder des Ausländers in den Heimat-, Herkunfts- oder einen Drittstaat entgegenstehen. Vorliegend kommt dem Beschwerdeführer die Flüchtlingseigenschaft nicht zu. Das flüchtlingsrechtliche Rückschiebungsverbot von Art. 33 Abs. 1 des Abkommens vom 28. Juli 1951 über die Rechtsstellung der Flüchtlinge (FK, SR 0.142.30) und Art. 5 AsylG ist daher nicht anwendbar. Die Zulässigkeit des Vollzugs beurteilt sich vielmehr nach den übrigen verfassungs- und völkerrechtlichen Bestimmungen (insbesondere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ist vorliegend nicht geschehen.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AuG als gewichtiger Aspekt zu berücksichtigen (vgl. BVGE 2014/20 E. 8.3.6; 2009/51 E. 5.6, je m.w.H.).</w:t>
      </w:r>
    </w:p>
    <w:p>
      <w:r>
        <w:rPr>
          <w:b/>
        </w:rPr>
        <w:t>E. 5.4.1</w:t>
      </w:r>
    </w:p>
    <w:p>
      <w:r>
        <w:t>In Guinea herrscht zur Zeit weder Krieg oder Bürgerkrieg, noch liegt eine Situation allgemeiner Gewalt vor, aufgrund derer die Bevölkerung als konkret gefährdet bezeichnet werden müsste (statt vieler Urteile des BVGer D-2606/2017 vom 12. September 2017 E. 8.4.1, E-3869/2016 vom 25. Januar 2017 E. 6.3.1 oder E-7667/2015 vom 26. April 2016 E. 7.2.2). Der Vollzug der Wegweisung ist unter diesen Umständen grundsätzlich als zumutbar zu bezeichnen.</w:t>
      </w:r>
    </w:p>
    <w:p>
      <w:r>
        <w:rPr>
          <w:b/>
        </w:rPr>
        <w:t>E. 5.4.2</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gewährleistet (vgl. BVGE 2015/30 E. 7.2 f. m.w.H.).</w:t>
      </w:r>
    </w:p>
    <w:p>
      <w:r>
        <w:rPr>
          <w:b/>
        </w:rPr>
        <w:t>E. 5.4.3</w:t>
      </w:r>
    </w:p>
    <w:p>
      <w:r>
        <w:t>Der Beschwerdeführer machte anlässlich der Befragung und der Anhörung unglaubhafte Angaben zu seinem familiären Umfeld und zu seinem Lebenslauf. So konnte er die Lebensumstände bei C._______ nur äusserst unpräzise beschreiben. Beispielsweise konnte er zum Dorf, der Lage des Hauses oder seinem Schulweg kaum bzw. nur vage Angaben machen, was angesichts des Umstandes, dass er mit seiner Familie dort seit jung auf gelebt haben will, nicht zu überzeugen vermag. Hinzu kommt, dass seine Aussagen zum Rauswurf durch C._______ widersprüchlich sind. So gab er zuerst an, von diesem gegen Ende 2015 aus dem Haus geworfen worden zu sein, schilderte aber kurz darauf, dass der Vater Anfang 2015 gestorben sei, worauf er noch 2-3 Monate bei diesem (...) gelebt habe. Sodann bleiben seine Ausführungen zum angeblichen Tod des Vaters bzw. zu dessen Todesumständen auch nach mehrmaligem Nachfragen oberflächlich und unsubstanziiert. Dies gilt auch für den angeblichen Tod der Mutter, über den D._______ den Beschwerdeführer am Telefon informiert habe. Der Beschwerdeführer konnte in der Anhörung nicht einleuchtend darlegen, warum er nichts über die Todesumstände der Mutter wissen wollte bzw. warum er infolgedessen den Kontakt zu D._______ abgebrochen hat. In Anbetracht dessen, dass der Tod eines Elternteils ein einschneidendes Erlebnis darstellt, ist es deshalb nicht nachvollziehbar, dass der Beschwerdeführer keine genauen Angaben darüber machen kann bzw. darüber nichts wissen will. Schliesslich vermochte er nicht schlüssig zu begründen, warum ihn D._______ nicht mehr aufnehmen würde, zumal er dies nach dem angeblichen Tod des Vaters ja bereits einmal getan hat. Angesichts dieser vagen und teilweise widersprüchlichen Aussagen ist der Vorinstanz beizupflichten, dass der Beschwerdeführer nicht glaubhaft darlegen konnte, Vollwaise zu sein und nicht über ein Beziehungsnetz in Guinea zu verfügen. Aufgrund der obigen Erwägung und des Umstands, dass der Beschwerdeführer keine Identitätspapiere eingereicht hat, stehen seine Identität, sein Alter und seine genaue Herkunft nicht zweifelsfrei fest. Dem Gericht ist es demnach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und unglaubhafte Aussagen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Somit ist im vorliegenden Fall insbesondere auch zu berücksichtigen, dass der Beschwerdeführer, zur Zeit des Asylgesuches sechzehnjährig, in weniger als zwei Monaten volljährig wird. Sodann zeichnet er sich durch eine nicht geringe Selbständigkeit aus, wie die Bewerkstelligung der weiten Reise in die Schweiz und deren teilweise Finanzierung durch Arbeit im Ausland zeigt. Angesichts der vorstehenden Ausführungen ist in Bestätigung der Vorinstanz davon auszugehen, er habe es pflichtwidrig unterlassen, bei der Feststellung des rechtserheblichen Sachverhalts mitzuwirken. Er hat deshalb die Folgen seiner mangelhaften Mitwirkung respektive Verheimlichung seiner wahren persönlichen Verhältnisse zu tragen, indem vermutungsweise davon auszugehen ist, es würden auch keine individuellen Gründe auf eine konkrete Gefährdung im Falle einer Rückkehr nach Guinea schliessen lassen (vgl. für das Ganze Urteil des BVGer D-8108/2009 vom 5. Juli 2010 E. 6.2.2). Zudem ist darauf hinzuweisen, dass die Vorinstanz mit der Nichtregierungsorganisation Sabou Guinée zusammenarbeitet. Diese hat auf Anfrage der Vorinstanz bestätigt, in der Lage zu sein, die Betreuung des minderjährigen Beschwerdeführers sicherzustellen. Sie würde den Beschwerdeführer im Fall einer Rückkehr unterstützen und vor Ort die Familienvereinigung organisieren bzw. eine geeignete Pflegefamilie suchen, falls eine Familienvereinigung nicht möglich oder nicht angebracht wäre. Unter Würdigung aller Umstände ist der Wegweisungsvollzug nach Guinea auch unter Berücksichtigung des Kindeswohls als zumutbar zu erachten, zumal der bald volljährige Beschwerdeführer sein ganzes Leben in Guinea verbracht hat, gesund ist und immerhin fünf Jahre die Schule besuch hat. Auch war er in der Lage, im Ausland zu arbeiten, um so Geld für seine Weiterreise zu verdienen, und es spricht nichts dagegen dass er dies nicht auch in Guinea tun kann. Nach dem Gesagten geht auch die in der Beschwerde vorgebrachte Rüge fehl, die Vorinstanz habe den Sachverhalt nicht korrekt und vollständig erstellt und damit ihre Begründungspflicht verletzt. Für eine Rückweisung der Sache an die Vorinstanz besteht daher kein Anlass.</w:t>
      </w:r>
    </w:p>
    <w:p>
      <w:r>
        <w:rPr>
          <w:b/>
        </w:rPr>
        <w:t>E. 5.5</w:t>
      </w:r>
    </w:p>
    <w:p>
      <w:r>
        <w:t>Nach Art. 83 Abs. 2 AuG ist der Vollzug auch als möglich zu bezeichnen, zumal es dem Beschwerdeführer obliegt, sich bei der zuständigen Vertretung seines Heimatstaats die für eine Rückkehr notwendigen Reisedokumente zu beschaffen (Art. 8 Abs. 4 AsylG; BVGE 2008/34 E. 12).</w:t>
      </w:r>
    </w:p>
    <w:p>
      <w:r>
        <w:rPr>
          <w:b/>
        </w:rPr>
        <w:t>E. 5.6</w:t>
      </w:r>
    </w:p>
    <w:p>
      <w:r>
        <w:t>Zusammenfassend hat die Vorinstanz den Wegweisungsvollzug zu Recht als zulässig, zumutbar und möglich bezeichnet. Eine Anordnung der vorläufigen Aufnahme fällt ausser Betracht (Art. 83 Abs. 1-4 AuG).</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Der Beschwerdeführer ersuchte um Gewährung der unentgeltlichen Prozessführung im Sinne von Art. 65 Abs. 1 VwVG. Gemäss Art. 65 Abs. 1 VwVG wird eine Partei, die nicht über die erforderlichen Mittel verfügt, auf Antrag hin von der Bezahlung der Verfahrenskosten befreit, wenn ihr Begehren im Zeitpunkt der Gesuchseinreichung nicht aussichtslos erscheint. Aussichtslos ist eine Beschwerde, wenn die Gewinnaussichten beträchtlich geringer sind als die Verlustgefahren und deshalb kaum als ernsthaft bezeichnet werden können (vgl. BGE 139 III 475). Für die Beurteilung der Prozesschancen ist eine summarische Prüfung vorzunehmen. Aufgrund obiger Erwägungen war die eingereichte Beschwerde von vornherein als aussichtslos zu erachten, weshalb das Gesuch um Gewährung der unentgeltlichen Prozessführung im Sinne von Art. 65 Abs. 1 VwVG abzuweisen ist. Dementsprechend ist das Gesuch um unentgeltliche Rechtsverbeiständung (Art. 110a Abs. 1 AsylG) mangels Erfüllens der Voraussetzungen von Art. 65 Abs. 1 VwVG ebenfalls abzuweisen. Mit dem Direktentscheid ist das Gesuch um Verzicht auf Erhebung eines Kostenvorschusses gegenstandslos geworden.</w:t>
      </w:r>
    </w:p>
    <w:p>
      <w:r>
        <w:rPr>
          <w:b/>
        </w:rPr>
        <w:t>E. 8</w:t>
      </w:r>
    </w:p>
    <w:p>
      <w:r>
        <w:t>Bei diesem Ausgang des Verfahrens sind die Kosten von Fr. 750.- (Art. 1- 3 des Reglements vom 21. Februar 2008 über die Kosten und Entschädigungen vor dem Bundesverwaltungsgericht [VGKE, SR 173.320.2]) dem Beschwerdeführer aufzuerlegen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