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D-218/2012 vom 20. Januar 2012</w:t>
      </w:r>
    </w:p>
    <w:p>
      <w:r>
        <w:t>Bundesverwaltungsgericht, 2012-01-20, DE</w:t>
      </w:r>
    </w:p>
    <w:p>
      <w:r>
        <w:rPr>
          <w:b/>
        </w:rPr>
        <w:t xml:space="preserve">Quelle: </w:t>
      </w:r>
      <w:r>
        <w:t>https://mcp.opencaselaw.ch/entscheid/bvger_D-218_2012</w:t>
      </w:r>
    </w:p>
    <w:p>
      <w:r>
        <w:t>FR: TAF D-218/2012 du 20 janvier 2012</w:t>
      </w:r>
    </w:p>
    <w:p>
      <w:r>
        <w:t>IT: TAF D-218/2012 del 20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 Frage eines Auslieferungsgesuches stellt sich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Da es sich bei der vorliegenden Eingabe vom 20. Dezember 2011 um eine Laienbeschwerde handelt, an die keine hohen formellen Anforderungen zu stellen sind, ist zu Gunsten der Beschwerdeführenden auf die insoweit frist- und formgerecht eingereichte Beschwerde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Sodann ist das Bundesamt in jedem Fall gehalten, den Verzicht auf eine Befragung in der anfechtbaren Verfügung zu begründen (BVGE a.a.O. E. 5.6 sowie 5.7).</w:t>
      </w:r>
    </w:p>
    <w:p>
      <w:r>
        <w:rPr>
          <w:b/>
        </w:rPr>
        <w:t>E. 4.2</w:t>
      </w:r>
    </w:p>
    <w:p>
      <w:r>
        <w:t>Vorliegend wurden durch die schweizerische Vertretung in Dublin keine mündlichen Befragungen der Beschwerdeführenden durchgeführt, obwohl davon auszugehen ist, dass diese möglich gewesen wären. Das Gegenteil ist jedenfalls aus den Akten nicht ersichtlich. Diese Unterlassung wurde im angefochtenen Entscheid weder erwähnt noch begründet. Durch den Erlass der Verfügung vom 14. November 2011 geht das BFM somit implizit davon aus, dass der Sachverhalt als rechtsgenüglich erstellt erachtet werden könne.</w:t>
      </w:r>
    </w:p>
    <w:p>
      <w:r>
        <w:rPr>
          <w:b/>
        </w:rPr>
        <w:t>E. 4.3</w:t>
      </w:r>
    </w:p>
    <w:p>
      <w:r>
        <w:t>In casu erscheint fraglich, ob der Sachverhalt aufgrund einer E-Mail der Beschwerdeführerin und einer vom BFM getätigten Internetrecherche, ohne die Beschwerdeführenden mit dem Ergebnis derselben konfrontiert zu haben, bereits als erstellt erachtet werden kann. Selbst wenn die Auffassung des BFM zutreffend wäre - dies kann erst nach der Gewährung des rechtlichen Gehörs zuverlässig beurteilt werden -, hätte das BFM den Beschwerdeführenden unter den gegebenen Umständen gemäss Rechtsprechung des Bundesverwaltungsgerichts vor dem Erlass des Entscheides das rechtliche Gehör gewähren müssen (vgl. vorstehend E. 4.1), was indessen unterlassen wurde. Dessen ungeachtet wäre die Vorinstanz gehalten gewesen, das Abweichen von der Regel, eine Befragung durchzuführen, in der Verfügung zu begründen, damit eine sachgerechte Anfechtung derselben möglich gewesen wäre.</w:t>
      </w:r>
    </w:p>
    <w:p>
      <w:r>
        <w:rPr>
          <w:b/>
        </w:rPr>
        <w:t>E. 4.4</w:t>
      </w:r>
    </w:p>
    <w:p>
      <w:r>
        <w:t>Nach dem Gesagten ergibt sich, dass die Vorinstanz ihre behördliche Untersuchungs- und Begründungspflicht verletzte sowie den Beschwerdeführenden zu Unrecht das gemäss Rechtsprechung zwingend zu gewährende rechtliche Gehör nicht einräumte. Diese Mängel sind auf Beschwerdeebene nicht zu heilen, zumal es nicht Sinn und Zweck des Beschwerdeverfahrens vor dem Bundesverwaltungsgericht ist, die von der Vorinstanz unterlassene Handlungen nachzuholen.</w:t>
      </w:r>
    </w:p>
    <w:p>
      <w:r>
        <w:rPr>
          <w:b/>
        </w:rPr>
        <w:t>E. 4.5</w:t>
      </w:r>
    </w:p>
    <w:p>
      <w:r>
        <w:t>Vor diesem Hintergrund kann letztlich offen gelassen werden, ob allein das per E-Mail gestellte Asylgesuch den Voraussetzungen von Art. 18 AsylG zu genügen vermag.</w:t>
      </w:r>
    </w:p>
    <w:p>
      <w:r>
        <w:rPr>
          <w:b/>
        </w:rPr>
        <w:t>E. 5</w:t>
      </w:r>
    </w:p>
    <w:p>
      <w:r>
        <w:t>Nach dem Gesagten ist die Beschwerde im Sinne der Erwägungen gutzuheissen, die vorinstanzliche Verfügung vom 14. November 2011 aufzuheben und die Vorinstanz anzuweisen, den Beschwerdeführenden das rechtliche Gehör zu gewähren, den rechtserheblichen Sachverhalt ergänzend vollständig festzustellen und in der Sache neu zu entscheiden.</w:t>
      </w:r>
    </w:p>
    <w:p>
      <w:r>
        <w:rPr>
          <w:b/>
        </w:rPr>
        <w:t>E. 6.1</w:t>
      </w:r>
    </w:p>
    <w:p>
      <w:r>
        <w:t>Bei diesem Ausgang des Verfahrens sind keine Kosten aufzuerlegen (Art. 63 Abs. 1 und 2 VwVG).</w:t>
      </w:r>
    </w:p>
    <w:p>
      <w:r>
        <w:rPr>
          <w:b/>
        </w:rPr>
        <w:t>E. 6.2</w:t>
      </w:r>
    </w:p>
    <w:p>
      <w:r>
        <w:t>Obsiegende Parteien haben Anspruch auf eine Parteientschädigung für die ihnen erwachsenen notwendigen Kosten (Art. 64 Abs. 1 VwVG; Art. 7 ff. des Reglements vom 21. Februar 2008 über die Kosten und Entschädigungen vor dem Bundesverwaltungsgericht [VGKE, SR 173.320.2]). Da die Beschwerdeführenden im Beschwerdeverfahren nicht anwaltlich vertreten wurden, ist nicht davon auszugehen, ihnen seien durch die Beschwerdeführung Kosten erwachsen. Daher ist ihnen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