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D-2187/2024 vom 2. April 2024</w:t>
      </w:r>
    </w:p>
    <w:p>
      <w:r>
        <w:t>Bundesverwaltungsgericht, 2024-04-02, DE</w:t>
      </w:r>
    </w:p>
    <w:p>
      <w:r>
        <w:rPr>
          <w:b/>
        </w:rPr>
        <w:t xml:space="preserve">Quelle: </w:t>
      </w:r>
      <w:r>
        <w:t>https://mcp.opencaselaw.ch/entscheid/bvger_D-2187_2024_d20240402</w:t>
      </w:r>
    </w:p>
    <w:p>
      <w:r>
        <w:t>FR: TAF D-2187/2024 du 2 avril 2024</w:t>
      </w:r>
    </w:p>
    <w:p>
      <w:r>
        <w:t>IT: TAF D-2187/2024 del 2 aprile 2024</w:t>
      </w:r>
    </w:p>
    <w:p>
      <w:pPr>
        <w:pStyle w:val="Heading2"/>
      </w:pPr>
      <w:r>
        <w:t>Regeste</w:t>
      </w:r>
    </w:p>
    <w:p>
      <w:r>
        <w:t>Nichteintreten auf Asylgesuch und Wegweisung (Mehrfachgesuch) | Nichteintreten auf Asylgesuch und Wegweisung (Mehrfachgesuch); Verfügung des SEM vom 2. April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 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D-2187/2024 Seite 5</w:t>
      </w:r>
    </w:p>
    <w:p>
      <w:r>
        <w:rPr>
          <w:b/>
        </w:rPr>
        <w:t>E. 5.1</w:t>
      </w:r>
    </w:p>
    <w:p>
      <w:r>
        <w:t>Asylgesuche, die innert fünf Jahren nach Eintritt der Rechtskraft eines Asyl- und Wegweisungsentscheids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Das SEM führt zur Begründung seiner Verfügung im Wesentlichen aus, der Beschwerdeführer habe seine Vorbringen nicht durch entsprechende Beweismittel zu untermauern vermocht. Zudem mache er keine gezielte Verfolgung seiner Person glaubhaft.</w:t>
      </w:r>
    </w:p>
    <w:p>
      <w:r>
        <w:rPr>
          <w:b/>
        </w:rPr>
        <w:t>E. 6.2</w:t>
      </w:r>
    </w:p>
    <w:p>
      <w:r>
        <w:t>Der Beschwerdeführer hält dem in der Rechtsmitteleingabe entgegen, das SEM gehe zu Unrecht davon aus, dass er sein Gesuch nicht gehörig begründet habe. Vielmehr habe die Vorinstanz den Sachverhalt unvollstän- dig, unrichtig sowie willkürlich festgestellt und seine Beweismittel nicht ge- würdigt. Seine gesundheitlichen Probleme seien nicht nur für die Prüfung des Wegweisungsvollzugs von Relevanz, sondern beeinflussten auch die Beurteilung der Asylrelevanz seiner Verfolgungsgeschichte signifikant.</w:t>
      </w:r>
    </w:p>
    <w:p>
      <w:r>
        <w:rPr>
          <w:b/>
        </w:rPr>
        <w:t>E. 7</w:t>
      </w:r>
    </w:p>
    <w:p>
      <w:r>
        <w:t>Vorab ist festzustellen, dass der blosse Umstand, dass der Beschwerde- führer die Schlussfolgerungen der Vorinstanz nicht teilt respektive mit ihrer Feststellung, dass seine Vorbringen nicht gehörig begründet seien, nicht einverstanden ist, weder eine unvollständige, unrichtige oder willkürliche Sachverhaltsfeststellung noch eine Verletzung des rechtlichen Gehörs zu begründen vermag. Vielmehr handelt es sich hierbei um eine Frage der rechtlichen Würdigung der Sache, mithin der materiellen Entscheidung über die vorgebrachten Asylgründe. Der Beschwerdeführer verkennt, dass die Vorinstanz gar keine materielle Prüfung seiner Vorbringen vornahm. Ihren Nichteintretensentscheid begründete sie in ihrer Verfügung sodann auch hinreichend differenziert und nachvollziehbar. Auch hinsichtlich sei- nes Gesundheitszustandes ist keine Verletzung des Untersuchungsgrund- satzes oder der Begründungspflicht ersichtlich. Entgegen der Auffassung des Beschwerdeführers musste sich die Vorinstanz auch nicht veranlasst</w:t>
      </w:r>
    </w:p>
    <w:p>
      <w:r>
        <w:t>D-2187/2024 Seite 6 sehen, weitere Abklärungen abzuwarten, zumal vom Beschwerdeführer im Rahmen seiner Mitwirkungspflicht nach Art. 8 AsylG – und angesichts der erhöhten Anforderungen an Mehrfach- beziehungsweise Wiedererwä- gungsgesuche (vgl. Art. 111b und 111c AsylG) – zu erwarten war, dass er bereits alle relevanten medizinischen Berichte mit seinem Mehrfachgesuch eingereicht hat. Dies umso mehr, nachdem seinem Gesuch nicht zu ent- nehmen ist, es seien weitere Abklärungen und Behandlungen ausstehend, und der jüngste Arztbericht vier Monate vor der Gesuchseinreichung datiert (vgl. Gesuchsbeilage 5). Bezeichnenderweise wird auf Beschwerdeebene weder ausgeführt, welche «weiteren Abklärungen» noch ausstehend seien, noch werden weitere Unterlagen zum Gesundheitszustand des Be- schwerdeführers zu den Akten gereicht. Darüber hinaus hat die Vorinstanz denn auch genügend – und einem Mehrfachgesuch angemessen – be- gründet, weshalb sie eine Rückkehr des Beschwerdeführers in den Hei- matstaat als zulässig und zumutbar erachtet.</w:t>
      </w:r>
    </w:p>
    <w:p>
      <w:r>
        <w:rPr>
          <w:b/>
        </w:rPr>
        <w:t>E. 8.1</w:t>
      </w:r>
    </w:p>
    <w:p>
      <w:r>
        <w:t>Wie von der Vorinstanz zutreffend festgestellt, ist das Erfordernis einer (materiell) ausreichenden Begründung im Sinne von Art. 111c AsylG vor- liegend nicht erfüllt (vgl. zum Nichteintretensgrund der mangelhaften Be- gründung BVGE 2014/39 E. 7). Wie nachfolgend aufgezeigt wird, vermag die vom Beschwerdeführer angeführte Begründung inhaltlich nicht zu über- zeugen beziehungsweise ist sie als nicht ausreichend im Sinne der erhöh- ten Anforderungen an die Begründung eines Mehrfachgesuchs zu qualifi- zieren.</w:t>
      </w:r>
    </w:p>
    <w:p>
      <w:r>
        <w:rPr>
          <w:b/>
        </w:rPr>
        <w:t>E. 8.2</w:t>
      </w:r>
    </w:p>
    <w:p>
      <w:r>
        <w:t>Substanziierte und überprüfbare Angaben zu seinem Hauptvorbringen, der angeblichen Verhaftung respektive dem Verschwinden seines Vaters im Heimatstaat, macht der Beschwerdeführer weder in seinem Mehrfach- gesuch noch seiner Beschwerdeeingabe geltend. Insbesondere ist nicht ersichtlich, inwiefern sich daraus eine konkrete Verfolgungsgefahr für seine Person ergeben sollte. Noch weniger substanziiert und nachvollziehbar ist seine beiläufig wirkende Behauptung, die politischen Aktivitäten seiner Mutter, die gemäss seinem Mehrfachgesuch gut sechs Jahre zurücklägen, seien flüchtlingsrechtlich relevant (vgl. Gesuchseingabe S. 4). Weder führt er aus, ob seiner Mutter durch ihr Engagement im Heimatstaat Nachteile entstanden sind, noch legt er dar, inwiefern sich daraus eine Verfolgung seiner Person ergeben sollte. Bei den mit dem Mehrfachgesuch zu den Akten gereichten Beweismitteln handelt es sich sodann ausschliesslich um medizinische Berichte zum Gesundheitszustand des Beschwerdeführers. Inwiefern seine physischen/ psychischen Leiden einen signifikanten</w:t>
      </w:r>
    </w:p>
    <w:p>
      <w:r>
        <w:t>D-2187/2024 Seite 7 Einfluss auf die Beurteilung der asylrechtlichen Relevanz seiner Vorbrin- gen hätten, wird denn auch auf Beschwerdeebene nicht näher ausgeführt. Solches ist auch keineswegs ersichtlich. Somit sind seine gesundheitlichen Vorbringen – entgegen der Beschwerdeschrift – lediglich im Rahmen der Prüfung des Wegweisungsvollzugs zu berücksichtigen.</w:t>
      </w:r>
    </w:p>
    <w:p>
      <w:r>
        <w:rPr>
          <w:b/>
        </w:rPr>
        <w:t>E. 8.3</w:t>
      </w:r>
    </w:p>
    <w:p>
      <w:r>
        <w:t>Nachdem der Beschwerdeführer den erhöhten Anforderungen an die Begründungspflicht nicht nachkommt, ist das SEM in Anwendung von Art. 111c Abs. 1 AsylG in Verbindung mit Art. 13 Abs. 2 VwVG zu Recht auf sein Mehrfachgesuch nicht eingetreten.</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 grund von Situationen wie Krieg, Bürgerkrieg, allgemeiner Gewalt und me- dizinischer Notlage konkret gefährdet sind. Der Vollzug ist nicht möglich, wenn die Ausländerin oder der Ausländer weder in den Heimat- oder in den Herkunftsstaat noch in einen Drittstaat ausreisen oder dorthin gebracht werden kann (Art. 83 Abs. 2 AIG).</w:t>
      </w:r>
    </w:p>
    <w:p>
      <w:r>
        <w:t>D-2187/2024 Seite 8</w:t>
      </w:r>
    </w:p>
    <w:p>
      <w:r>
        <w:rPr>
          <w:b/>
        </w:rPr>
        <w:t>E. 10.3.1</w:t>
      </w:r>
    </w:p>
    <w:p>
      <w:r>
        <w:t>Die Vorinstanz weist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und Art. 33 des Ab- kommens vom 28. Juli 1951 über die Rechtsstellung der Flüchtlinge (FK, SR 0.142.30) rechtmässig.</w:t>
      </w:r>
    </w:p>
    <w:p>
      <w:r>
        <w:rPr>
          <w:b/>
        </w:rPr>
        <w:t>E. 10.3.2</w:t>
      </w:r>
    </w:p>
    <w:p>
      <w:r>
        <w:t>Gemäss der Rechtsprechung des Bundesverwaltungsgerichts las- sen weder die Zugehörigkeit zur tamilischen Ethnie noch die allgemeine Menschenrechtssituation in Sri Lanka den Wegweisungsvollzug unzuläs- sig erscheinen (vgl. Referenzurteil E-1866/2015 E. 12.2 f.). Sodann erge- 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(vgl. Urteil des EGMR Saadi gegen Italien 28. Februar 2008, Grosse Kammer 37201/06, §§ 124–127 m.w.H.). Auch besteht kein Grund zur An- nahme, dass sich die politischen Entwicklungen der letzten Jahre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Auch der Gesundheitszustand des Beschwerdeführers steht der Zu- lässigkeit des Wegweisungsvollzugs nicht entgegen, zumal eine zwangs- weise Wegweisung von Personen mit gesundheitlichen Problemen nur ganz ausnahmsweise einen Verstoss gegen Art. 3 EMRK darstellen kann (vgl. BVGE 2011/9 E. 7 m.H. auf die damalige Praxis des Europäischen Gerichtshofs für Menschenrechte [EGMR]; Urteil des EGMR Paposhvili ge- gen Belgien vom 13. Dezember 2016, Nr. 41738/10, §§ 180–193 m.w.H.; BVGE 2017 VI/7 E. 6).</w:t>
      </w:r>
    </w:p>
    <w:p>
      <w:r>
        <w:t>D-2187/2024 Seite 9</w:t>
      </w:r>
    </w:p>
    <w:p>
      <w:r>
        <w:rPr>
          <w:b/>
        </w:rPr>
        <w:t>E. 10.3.3</w:t>
      </w:r>
    </w:p>
    <w:p>
      <w:r>
        <w:t>Der Vollzug der Wegweisung erweist sich sowohl im Sinne der asyl- als auch der völkerrechtlichen Bestimmungen als zulässig.</w:t>
      </w:r>
    </w:p>
    <w:p>
      <w:r>
        <w:rPr>
          <w:b/>
        </w:rPr>
        <w:t>E. 10.4.1</w:t>
      </w:r>
    </w:p>
    <w:p>
      <w:r>
        <w:t>Aktuell herrscht in Sri Lanka weder Krieg noch eine Situation allge- meiner Gewalt. An dieser Einschätzung vermag die weiterhin in weiten Tei- len des Landes herrschende angespannte Lage grundsätzlich nichts zu ändern, zumal die Krise die ganze sri-lankische Bevölkerung betrifft (vgl. Urteil des BVGer E-3903/2021 vom 3. August 2023 E. 10.3 m.w.H.). Gemäss der Rechtsprechung des Bundesverwaltungsgerichts ist der Weg- weisungsvollzug grundsätzlich sowohl in die Nordprovinz als auch in die Ostprovinz Sri Lankas unter Einschluss des Vanni-Gebiets zumutbar (vgl. Referenzurteilen E-1866/2015 vom 15. Juli 2016 E. 13.2–13.4 und D- 3619/2016 vom 16. Oktober 2017). Diese Einschätzung gilt auch ange- sichts der aktuellen Entwicklungen in Sri Lanka.</w:t>
      </w:r>
    </w:p>
    <w:p>
      <w:r>
        <w:rPr>
          <w:b/>
        </w:rPr>
        <w:t>E. 10.4.2</w:t>
      </w:r>
    </w:p>
    <w:p>
      <w:r>
        <w:t>Das Bundesverwaltungsgericht hat im ersten Beschwerdeverfahren bereits festgestellt, dass im Falle des Beschwerdeführers keine individuel- len Gründe gegen die Zumutbarkeit des Wegweisungsvollzugs sprechen (vgl. Urteil des BVGer D-68/2021 vom 25. Mai 2021 E. 8.5). Die Aktenlage präsentiert sich diesbezüglich weitestgehend unverändert und es ist daher auf die entsprechenden Erwägungen zu verweisen.</w:t>
      </w:r>
    </w:p>
    <w:p>
      <w:r>
        <w:rPr>
          <w:b/>
        </w:rPr>
        <w:t>E. 10.4.3</w:t>
      </w:r>
    </w:p>
    <w:p>
      <w:r>
        <w:t>Auf Unzumutbarkeit des Wegweisungsvollzugs aufgrund einer me- 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2017 VI/7 E. 6, 2011/9 E. 7 und 2009/2 E. 9.3.2 je m.w.H.). Das Bundesverwaltungsgericht hat sich in seinem Referenzurteil E-737/2020 vom 27. Februar 2023 eingehend mit der schwierigen wirt- schaftlichen Situation in Sri Lanka und insbesondere mit deren Auswirkun- gen auf die gesundheitliche Versorgungslage im Land befasst (vgl. a.a.O. E. 10.2.5). Auch unter Berücksichtigung der darin ausgeführten Einschrän- kungen im Gesundheitssektor lassen die gesundheitlichen Leiden des Be-</w:t>
      </w:r>
    </w:p>
    <w:p>
      <w:r>
        <w:t>D-2187/2024 Seite 10 schwerdeführers (Remittierter Alkoholkonsum, Verdacht auf posttraumati- sche Belastungsstörung, Anpassungsstörungen, Thalassämien) nicht auf eine medizinische Notlage schliessen, zumal die Ergebnisse der Abklärun- gen seiner physischen Beschwerden weitestgehend unauffällig waren (vgl. Gesuchsbeilage 6) und sich den Akten keine Hinweise auf einen akuten Behandlungsbedarf seiner psychischen Leiden entnehmen lässt. Auch ist davon auszugehen, dass es dem Beschwerdeführer im Bedarfsfall möglich sein wird, im Heimatland allenfalls benötigte psychiatrisch-psycho- logische Hilfe in Anspruch zu nehmen und er im Bedarfsfall auch Zugang zu Medikamenten hat (vgl. zur [aktuellen] Gesundheitsversorgung in Sri Lanka Urteil des BVGer D-4210/2020 vom 16. November 2023 E. 9.3.2 und BVGer D-2461/2021 vom 29. April 2024 E. 11.3.7).</w:t>
      </w:r>
    </w:p>
    <w:p>
      <w:r>
        <w:rPr>
          <w:b/>
        </w:rPr>
        <w:t>E. 10.4.4</w:t>
      </w:r>
    </w:p>
    <w:p>
      <w:r>
        <w:t>Nach dem Gesagten erweist sich der Vollzug der Wegweisung auch als zumutbar.</w:t>
      </w:r>
    </w:p>
    <w:p>
      <w:r>
        <w:rPr>
          <w:b/>
        </w:rPr>
        <w:t>E. 10.5</w:t>
      </w:r>
    </w:p>
    <w:p>
      <w:r>
        <w:t>Wie bereits im Urteil D-68/2020 vom 25. Mai 2021 festgehalten, ob- liegt es dem Beschwerdeführer, sich bei der zuständigen Vertretung des Heimatstaates die für eine Rückkehr notwendigen Reisedokumente zu be- schaffen, weshalb der Vollzug der Wegweisung auch als möglich zu be- zeichnen ist (vgl. a.a.O. E. 8.6).</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Die Gesu- che um Anordnung vollzugshemmender Massnahmen sowie Erteilung der aufschiebenden Wirkung sind mit dem vorliegenden Entscheid in der Sa- che gegenstandslos geworden.</w:t>
      </w:r>
    </w:p>
    <w:p>
      <w:r>
        <w:rPr>
          <w:b/>
        </w:rPr>
        <w:t>E. 12</w:t>
      </w:r>
    </w:p>
    <w:p>
      <w:r>
        <w:t>Bei diesem Ausgang des Verfahrens sind die Kosten dem Beschwerde- führer aufzuerlegen (Art. 63 Abs. 1 VwVG) und auf insgesamt Fr. 2’000.– festzusetzen (Art. 1–3 des Reglements vom 21. Februar 2008 über die Kosten und Entschädigungen vor dem Bundesverwaltungsgericht [VGKE,</w:t>
      </w:r>
    </w:p>
    <w:p>
      <w:r>
        <w:t>D-2187/2024 Seite 11 SR 173.320.2]), wobei sie durch den in gleicher Höhe geleisteten Kosten- vorschuss gedeckt sind. (Dispositiv nächste Seite)</w:t>
      </w:r>
    </w:p>
    <w:p>
      <w:r>
        <w:t>D-2187/2024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