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D-2180/2014 vom 29. September 2014</w:t>
      </w:r>
    </w:p>
    <w:p>
      <w:r>
        <w:t>Bundesverwaltungsgericht, 2014-09-29, DE</w:t>
      </w:r>
    </w:p>
    <w:p>
      <w:r>
        <w:rPr>
          <w:b/>
        </w:rPr>
        <w:t xml:space="preserve">Quelle: </w:t>
      </w:r>
      <w:r>
        <w:t>https://mcp.opencaselaw.ch/entscheid/bvger_D-2180_2014</w:t>
      </w:r>
    </w:p>
    <w:p>
      <w:r>
        <w:t>FR: TAF D-2180/2014 du 29 septembre 2014</w:t>
      </w:r>
    </w:p>
    <w:p>
      <w:r>
        <w:t>IT: TAF D-2180/2014 del 29 settembre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 wie das vorliegende - im Ausland vor dem Inkrafttreten der Änderung des Asylgesetzes gestellt worden sind, die Art. 12, 19, 20, 41 Absatz 2, 52 und 68 in der bisherigen Fassung gelten.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Das Bundesamt kann ein im Ausland gestelltes oder ein von einer sich im Ausland befindenden Person eingereichtes Asylgesuch ablehnen, wenn die asylsuchende Person keine Verfolgung glaubhaft machen konnte oder ihr die Aufnahme in einem Drittstaat zugemutet werden kann (Art. 3, Art. 7 und aArt. 52 Abs. 2 AsylG). Gemäss aArt. 20 Abs. 2 AsylG bewilligt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4.2</w:t>
      </w:r>
    </w:p>
    <w:p>
      <w:r>
        <w:t>Hinsichtlich des Verfahrens bei der schweizerischen Vertretung im Ausland sieht aArt. 10 Abs. 1 der Asylverordnung 1 vom 11. August 1999 (AsylV 1, SR 142.311) vor, dass diese mit der asylsuchenden Person in der Regel eine Befragung durchführt (aArt. 10 Abs. 1 AsylV 1). Ist dies nicht möglich, sind die Asylgründe schriftlich festzuhalten (aArt. 10 Abs. 2 AsylV 1). Das BFM hat den allfälligen Verzicht auf eine Befragung im Ausland in der Verfügung zu begründen (vgl. BVGE 2007/30 E. 5.8 [S. 368]). Vorliegend wurde der Beschwerdeführer am 19. Februar 2014 auf der Schweizer Botschaft in Kairo persönlich befragt. Anlässlich dieser Befragung hatte er Gelegenheit, genauere Angaben zu seinen persönlichen Lebensumständen, zu den Gründen für seine Ausreise aus Eritrea sowie zu seiner aktuellen Verfolgungssituation zu machen.</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Für die Erteilung einer Einreisebewilligung gelten restriktive Voraussetzungen.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zur Verweigerung der Einreisebewilligung führt. In jedem Fall sind die Kriterien zu prüfen, welche die Zufluchtnahme in diesem Drittstaat zumutbar erscheinen lassen, und diese mit einer allfälligen Beziehungsnähe zur Schweiz abzuwägen. Eine Beziehungsnähe zur Schweiz aufgrund hier ansässiger naher Familienangehöriger begründet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(vgl. BVGE 2011/10 E. 5.1).</w:t>
      </w:r>
    </w:p>
    <w:p>
      <w:r>
        <w:rPr>
          <w:b/>
        </w:rPr>
        <w:t>E. 5.3</w:t>
      </w:r>
    </w:p>
    <w:p>
      <w:r>
        <w:t>Sodann schliesst gemäss neuer Rechtsprechung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6.1</w:t>
      </w:r>
    </w:p>
    <w:p>
      <w:r>
        <w:t>Vorliegend lassen die geltend gemachten Vorbringen, die nicht von vornherein unglaubhaft erscheinen, nicht ausschliessen, dass der Beschwerdeführer in Eritrea ernstzunehmende beziehungsweise in flüchtlingsrechtlicher Hinsicht relevante Schwierigkeiten mit den heimatlichen Behörden zu befürchten hatte. An dieser Feststellung vermag auch die neue gesetzliche Bestimmung von Art. 3 Abs. 3, 1. Satz AsylG nichts zu ändern, statuiert doch der zweite Satz von Art. 3 Abs. 3 AsylG gleichzeitig den Vorbehalt der Flüchtlingskonvention. Ob der Beschwerdeführer bei einer allfälligen Rückkehr nach Eritrea einer flüchtlingsrechtlich relevanten Verfolgung ausgesetzt sein könnte, kann dennoch offengelassen werden, da er den subsidiären Schutz der Schweiz gemäss aArt. 52 Abs. 2 AsylG nicht benötigt, weil es ihm - wie nachfolgend aufgezeigt wird -, trotz der gewiss nicht einfachen Bedingungen für eritreische Flüchtlinge in Ägypten, zuzumuten ist, dort zu verbleiben.</w:t>
      </w:r>
    </w:p>
    <w:p>
      <w:r>
        <w:rPr>
          <w:b/>
        </w:rPr>
        <w:t>E. 6.2</w:t>
      </w:r>
    </w:p>
    <w:p>
      <w:r>
        <w:t>Der Beschwerdeführer verliess gemäss seinen Angaben Eritrea im April 2012 in Richtung Sudan und fand - nachdem er von Angehörigen des Volkes der Rashaida gekidnappt, misshandelt und schliesslich gegen Bezahlung eines hohen Lösegeldes freigelassen worden war - Zuflucht in einem Drittstaat (Ägypten). Er wurde in einem Spital in Kairo medizinisch behandelt und vom UNHCR als Flüchtling registriert. Die Lebensbedingungen für eritreische Flüchtlinge in Ägypten sind zugestandenermassen nicht einfach; insbesondere ist auch nicht von der Hand zu weisen, dass sie - wie in der Beschwerde (vgl. S. 3) bemerkt wurde - wegen sprachlicher Probleme und der auch damit zusammenhängenden Schwierigkeiten, eine Arbeitsstelle zu finden, oftmals ein isoliertes Leben führen. Der Beschwerdeführer teilt diesbezüglich das Leid mit Tausenden Landsleuten. Er lebt aber - entgegen der Anmerkung in der Beschwerdeschrift (vgl. S. 4) - nicht ohne feste Unterkunft in Ägypten, sondern konnte zusammen mit mehreren anderen eritreischen Staatsangehörigen in Kairo ein Haus mieten, wobei die Mitbewohner sich gegenseitig finanziell unterstützen und der Beschwerdeführer ausserdem regelmässig Geldbeträge von seinem Bruder B._______ aus der Schweiz überwiesen erhält (vgl. Vorakten A13 S. 6). Wie in der angefochtenen Verfügung überdies zu Recht bemerkt wurde, kann der Beschwerdeführer als registrierter Flüchtling auch das UNHCR um Unterstützung (insbesondere auch in medizinischer Hinsicht, sofern die erlittenen Verletzungen weiterer Behandlung bedürfen) ersuchen. Was die in der Beschwerde (vgl. S. 3) erwähnte Möglichkeit einer (erneuten) Entführung in den Sinai betrifft, so ist festzuhalten, dass der Beschwerdeführer sich in Ägypten aufhält, wo zwar Verschleppungen eritreischer Flüchtlinge aus dem Landesinnern vereinzelt vorkommen können, dies jedoch bezüglich Kairo und Umgebung, wo der Beschwerdeführer lebt, praktisch gänzlich ausgeschlossen werden kann.</w:t>
      </w:r>
    </w:p>
    <w:p>
      <w:r>
        <w:rPr>
          <w:b/>
        </w:rPr>
        <w:t>E. 6.3</w:t>
      </w:r>
    </w:p>
    <w:p>
      <w:r>
        <w:t>Hinsichtlich der schon im vorinstanzlichen Verfahren geäusserten Furcht vor einer Deportation in den Heimatstaat ist festzuhalten, dass trotz der zeitweise unstabilen politischen Situation in Ägypten das Risiko für vom UNHCR registrierte Flüchtlinge gering ist. Es liegen auch keine konkreten Hinweise vor, dass der Beschwerdeführer von einer Rückschaffung bedroht wäre. Allfällige Benachteiligungen und Belästigungen, denen der Beschwerdeführer aufgrund seines christlichen Glaubens oder seiner eritreischen Herkunft beziehungsweise seiner Zugehörigkeit zur Ethnie der Tigrinya ausgesetzt sein könnte, vermögen ebenfalls keine akute und konkrete Gefährdungssituation in Ägypten zu begründen.</w:t>
      </w:r>
    </w:p>
    <w:p>
      <w:r>
        <w:rPr>
          <w:b/>
        </w:rPr>
        <w:t>E. 6.4</w:t>
      </w:r>
    </w:p>
    <w:p>
      <w:r>
        <w:t>Schliesslich vermag auch der Umstand, dass der Bruder des Beschwerdeführers seit sechs Jahren in der Schweiz lebt, keinen derart gewichtigen Anknüpfungspunkt darzustellen, dass eine Abwägung der Gesamtumstände im Sinne von aArt. 52 Abs. 2 AsylG dazu führen müsste, dass es gerade die Schweiz ist, die ihm den erforderlichen Schutz gewähren soll.</w:t>
      </w:r>
    </w:p>
    <w:p>
      <w:r>
        <w:rPr>
          <w:b/>
        </w:rPr>
        <w:t>E. 6.5</w:t>
      </w:r>
    </w:p>
    <w:p>
      <w:r>
        <w:t>Das BFM hat nach dem Gesagten dem Beschwerdeführer zu Recht die Einreise in die Schweiz verweigert und das Asylgesuch aus dem Ausland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dem Beschwerdeführer aufzuerlegen (Art. 63 Abs. 1 und 5 VwVG und Art. 1-3 des Reglements vom 21. Februar 2008 über die Kosten und Entschädigungen vor dem Bundesverwaltungsgericht [VGKE, SR 173.320.2]). Das Bundesverwaltungsgericht bewilligte dem Beschwerdeführer mit Zwischenverfügung vom 28. April 2014 die unentgeltliche Prozessführung im Sinne von Art. 65 Abs. 1 VwVG und verzichtete auf die Erhebung eines Kostenvorschusses. Angesichts der Aktenlage besteht keine Veranlassung,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