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D-2177/2014 vom 5. Juni 2014</w:t>
      </w:r>
    </w:p>
    <w:p>
      <w:r>
        <w:t>Bundesverwaltungsgericht, 2014-06-05, DE</w:t>
      </w:r>
    </w:p>
    <w:p>
      <w:r>
        <w:rPr>
          <w:b/>
        </w:rPr>
        <w:t xml:space="preserve">Quelle: </w:t>
      </w:r>
      <w:r>
        <w:t>https://mcp.opencaselaw.ch/entscheid/bvger_D-2177_2014</w:t>
      </w:r>
    </w:p>
    <w:p>
      <w:r>
        <w:t>FR: TAF D-2177/2014 du 5 juin 2014</w:t>
      </w:r>
    </w:p>
    <w:p>
      <w:r>
        <w:t>IT: TAF D-2177/2014 del 5 giugno 2014</w:t>
      </w:r>
    </w:p>
    <w:p>
      <w:pPr>
        <w:pStyle w:val="Heading2"/>
      </w:pPr>
      <w:r>
        <w:t>Regeste</w:t>
      </w:r>
    </w:p>
    <w:p>
      <w:r>
        <w:t>Visum aus humanitären Gründen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syrische Staatsangehörige können sich die Beschwerdeführenden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AuG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Beschwerdeführenden unterliegen als syrische Staatsangehörige ge­mäss Art. 1 Abs. 1 VO Nr. 539/2001 in Verbindung mit Anhang I einer Visumspflicht für den Schengen-Raum. Im Beschwerdeverfahren wird jedoch nicht bestritten, dass die bereits in der angefochtenen Verfügung geprüften Voraussetzungen für die Erteilung eines solchen Schengen-Vi­sums vorliegend nicht ge­ge­ben sind. Aufgrund der gesamten Umstände kann denn auch nicht darauf geschlossen werden, dass die Beschwerdeführenden nach Ablauf des Visums fristgerecht wieder aus dem Schengen-Raum ausreisen würden. Diesbezüglich ist insbesondere darauf hinzuweisen, dass die Rechtsvertreterin die anstandslose und fristgerechte Wiederausreise der Beschwerdeführenden in den von ihr am 27. Januar 2014 ausgefüllten Auskunftsbögen nur garantieren kann, "wenn die Lage (sich in Syrien) entspannt" (vgl. Akten BFM 39 und 36). Die Erteilung eines Visums mit Gültigkeit für den gesamten Schengen-Raum fällt daher nicht in Betracht. Im Folgenden ist daher einzig noch zu prüfen, ob das BFM auch zu Recht die Erteilung eines Einreisevisums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D-4783/2011 vom 29. Mai 2013 E. 3.2).</w:t>
      </w:r>
    </w:p>
    <w:p>
      <w:r>
        <w:rPr>
          <w:b/>
        </w:rPr>
        <w:t>E. 6.1</w:t>
      </w:r>
    </w:p>
    <w:p>
      <w:r>
        <w:t>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D vorstehend). Die Beschwerdevorbringen beziehungsweise die Ausführungen in den mit der Beschwerdeschrift eingereichten Beweismitteln (Schreiben des Gemeindepfarrers und des Bürgermeisters) sind nicht geeignet, eine Änderung der vorinstanzlichen Einschätzung zu bewirken, zumal sie sich lediglich auf die Gefährdungssituation der Beschwerdeführenden in Syrien beziehen. Ausführungen zu deren Situation im Libanon werden keine geltend gemacht. Es bestehen demzufolge keinerlei Anzeichen, dass die Beschwerdeführenden im Libanon unmittelbar gefährdet wären, ansonsten dies mit Bestimmtheit angeführt worden wäre.</w:t>
      </w:r>
    </w:p>
    <w:p>
      <w:r>
        <w:rPr>
          <w:b/>
        </w:rPr>
        <w:t>E. 6.2</w:t>
      </w:r>
    </w:p>
    <w:p>
      <w:r>
        <w:t>Das BFM hat den Beschwerdeführenden somit zu Recht kein humanitäres Visum ausgestellt.</w:t>
      </w:r>
    </w:p>
    <w:p>
      <w:r>
        <w:rPr>
          <w:b/>
        </w:rPr>
        <w:t>E. 7</w:t>
      </w:r>
    </w:p>
    <w:p>
      <w:r>
        <w:t>Aus vorstehenden Erwägungen folgt, dass die angefochtene Verfügung im Lichte von Art. 49 VwVG nicht zu beanstanden ist. Die Beschwerde ist daher abzuweisen.</w:t>
      </w:r>
    </w:p>
    <w:p>
      <w:r>
        <w:rPr>
          <w:b/>
        </w:rPr>
        <w:t>E. 8</w:t>
      </w:r>
    </w:p>
    <w:p>
      <w:r>
        <w:t>Bei diesem Ausgang des Verfahrens wären die Kosten grundsätzlich den Beschwerdeführenden aufzuerlegen (Art. 63 Abs. 1 und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