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D-2175/2013 vom 21. Mai 2013</w:t>
      </w:r>
    </w:p>
    <w:p>
      <w:r>
        <w:t>Bundesverwaltungsgericht, 2013-05-21, DE</w:t>
      </w:r>
    </w:p>
    <w:p>
      <w:r>
        <w:rPr>
          <w:b/>
        </w:rPr>
        <w:t xml:space="preserve">Quelle: </w:t>
      </w:r>
      <w:r>
        <w:t>https://mcp.opencaselaw.ch/entscheid/bvger_D-2175_2013</w:t>
      </w:r>
    </w:p>
    <w:p>
      <w:r>
        <w:t>FR: TAF D-2175/2013 du 21 mai 2013</w:t>
      </w:r>
    </w:p>
    <w:p>
      <w:r>
        <w:t>IT: TAF D-2175/2013 del 21 maggio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Auf die frist- und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5.2.1</w:t>
      </w:r>
    </w:p>
    <w:p>
      <w:r>
        <w:t>Die Beschwerdeführenden wurden nicht zu ihren Asylgesuchen befragt. Sie haben ihre Vorbringen jedoch bereits in der Eingabe vom 6. Dezember 2011 dargelegt und am (...), (...), (...) sowie am (...) ergänzt; zudem wurde ihnen mit Zwischenverfügung des BFM vom (...) ein Katalog von für die vollständige Erstellung des rechtserheblichen Sachverhalts noch zu beantwortenden offenen Fragen zugestellt, wozu sie am (...) schriftlich Stellung genommen haben (vgl. Sachverhalt Bstn. B - H). Der entscheid-wesentliche Sachverhalt erscheint angesichts der schriftlichen Darle-gung der Asylgründe soweit erstellt, dass die entscheidrelevanten Elemente vorliegen.</w:t>
      </w:r>
    </w:p>
    <w:p>
      <w:r>
        <w:rPr>
          <w:b/>
        </w:rPr>
        <w:t>E. 5.2.2</w:t>
      </w:r>
    </w:p>
    <w:p>
      <w:r>
        <w:t>Bei dieser Sachlage bestand keine Veranlassung, die Beschwer­deführenden vorgängig eines Entscheides durch eine schweizerische Vertretung zusätzlich persönlich anhören zu lassen. Das BFM hat den verfahrensrechtlichen Anforderungen damit Genüge getan.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5.4</w:t>
      </w:r>
    </w:p>
    <w:p>
      <w:r>
        <w:t>Das BFM führte zur Begründung seiner Verfügung im Wesentlichen aus, wenn sich eine Person, die ein Asylgesuch im Ausland gestellt habe, in einem Drittstaat aufhalte, bedeute dies noch nicht zwingend, dass es ihr auch zuzumuten sei, sich dort um Aufnahme zu bemühen (vgl. Entscheidungen und Mitteilungen der Schweizerischen Asylrekurskommission [EMARK] 2004 Nr. 21. E. 4). Jedoch sei in einem solchen Fall im Sinn einer Regelvermutung davon auszugehen, dass die betreffende Person in diesem Drittstaat bereits anderweitig Schutz gefunden habe, was in der Regel zur Ablehnung des Asylgesuchs und zur Verweigerung der Einreisebewilligung führe. In jedem Fall seien allerdings die Kriterien zu prüfen, welche die Zufluchtnahme in diesem Drittstaat als zumutbar erscheinen liessen, und diese seien mit einer allfälligen Beziehungsnähe zur Schweiz abzuwägen. Es gelte also zu prüfen, ob es aufgrund der gesamten Umstände geboten erscheine, dass es gerade die Schweiz sei, die den erforderlichen Schutz einer Person gewähren soll (vgl. EMARK 2004 Nr. 21 E. 4; EMARK 1997 Nr. 15 E. 2 f.). Die Ausführungen im Auslandgesuch vom 6. Dezember 2011 sowie in der Stellungnahme vom (...) liessen darauf schliessen, dass die Beschwerdeführenden ernstzunehmende Schwierigkeiten mit ihren heimatlichen Behörden hätten. Es sei zu prüfen, ob einer allfälligen Asylgewährung durch die Schweiz der Ausschlussgrund von Art. 52 Abs. 2 AsylG entgegenstände. Gemäss dieser Gesetzesbestimmung könne einer Person das Asyl verweigert werden, wenn es ihr zugemutet werden könne, sich in einem anderen Staat um Schutz zu bemühen. In ihrer Stellungahme zum Schreiben des BFM vom (...) hätten die Beschwerdeführenden ausgeführt, ein weiterer Verbleib in Äthiopien sei ihnen nicht möglich beziehungsweise nicht zumutbar, weil sie von ihrer Gastfamilie ausgenützt und ihnen bei einem Aufenthalt im Flüchtlingslager ebenfalls Gefahren drohen würden. Laut Berichten des UNHCR - so das BFM - befänden sich zahlreiche eritreische Flüchtlinge und Asylbewerber in Äthiopien. Vor diesem Hintergrund sei nicht zu verkennen, dass die Lage vor Ort für diese Menschen wie auch für die Beschwerdeführenden nicht einfach sei. Dennoch beständen keine konkreten Anhaltspunkte zur Annahme, dass ein weiterer Verbleib in Äthiopien für die Beschwerdeführenden nicht zumutbar und möglich wäre. Flüchtlinge in Äthiopien, die vom UNHCR registriert worden seien, seien einem Flüchtlingslager zugeteilt worden, wo sie sich aufzuhalten hätten und die nötige Versorgung erhielten. Sie verfügten nicht über ein freies Aufenthaltsrecht für das ganze Land. Es sei den Beschwerdeführenden daher zuzumuten, beim UNHCR um Schutz zu ersuchen, falls ihre Situation tatsächlich kritisch sein sollte. Das Leben in Äthiopien sei für eritreische Flüchtlinge gewiss nicht einfach. Angesichts des (...) Aufenthalts der Beschwerdeführenden bei einer Gastfamilie in der Nähe von I._______, wo sie arbeiten würden, sei davon auszugehen, dass die Hürden für eine zumutbare Existenz in casu nicht unüberwindbar seien, auch wenn sie sich ausgenützt fühlten. Bei Problemen mit ihrer Gastfamilie hätten sie die Möglichkeit, die Familie zu verlassen und sich in ein UNHCR-Flücht­lingslager oder an einen anderen Ort zu begeben. Überdies lebe in Äthiopien eine grosse eritreische Diaspora, die für in Not geratene Landsleute bereitstehe und weitgehend Unterstützung biete. Obwohl die Beschwerdeführerin (2) noch nicht volljährig sei, sei sie, da sie mit ihrem erwachsenen Bruder (1) zusammenlebe, aufgrund dessen nicht mehr gefährdet als andere Flüchtlinge. Schliesslich sei bei der Anwendung von Art. 52 Abs. 2 AsylG zudem in einer Gesamtschau die Beziehungsnähe zur Schweiz und zu anderen Staaten zu prüfen. Obwohl die Beschwerdeführenden mit ihrer in der Schweiz wohnhaften E._______ hier über einen Anknüpfungspunkt verfügten, sei dieser nicht derart gewichtig, als das eine Abwägung der Gesamtumstände im Sinne von Art. 52 Abs. 2 AsylG dazu führen müsste, dass es gerade die Schweiz sei, die den erforderlichen Schutz gewähren soll. Alleine die Anwesenheit einer Verwandten bedeute noch keine enge Bindung mit der Schweiz in dem Sinne, dass die erwähnte Gesetzesbestimmung nicht zur Anwendung käme. Aufgrund dessen sei keine besondere Beziehungsnähe zur Schweiz gegeben, welche die vorangegangenen Feststellungen umzustossen vermöchte. Mithin seien sowohl das Asylgesuch als auch der Einreiseantrag abzulehnen.</w:t>
      </w:r>
    </w:p>
    <w:p>
      <w:r>
        <w:rPr>
          <w:b/>
        </w:rPr>
        <w:t>E. 5.5</w:t>
      </w:r>
    </w:p>
    <w:p>
      <w:r>
        <w:t>Die Beschwerde beschränkt sich auf eine Wiederholung der bisherigen Vorbringen. Zudem wird Folgendes ausgeführt: Nachdem die Vorinstanz ausgeführt habe, die Abklärung des rechtserheblichen Sachverhalts erfordere die Anwesenheit der Beschwerdeführenden in der Schweiz nicht, sei davon auszugehen, dass sie diesen festgestellt habe, und, nachdem sie keinen Vorbehalt zur Glaubhaftigkeit angebracht habe, offensichtlich die Vorbringen als glaubhaft erachte. Mit der Feststellung, die Beschwerdeführenden hätten ernstzunehmende Schwierigkeiten mit den heimatlichen Behörden, lasse die Vorinstanz indes offen, ob die Vorbringen für die Anerkennung als Flüchtling genügten. Gesetzessystematisch handle es sich bei Art. 52 Abs. 2 AsylG um einen Asylausschlussgrund. Gemäss Art. 49 AsylG verhindere ein solcher lediglich die Gewährung von Asyl, habe aber keinen Einfluss auf die Flüchtlingseigenschaft. Vielmehr könne er erst dann Anwendung finden, wenn die Flüchtlingseigenschaft bestehe. Mithin habe die Vorinstanz in Anwendung von Art. 52 Abs. 2 AsylG implizit - zu Recht - die Flüchtlingseigenschaft festgestellt. Die Flüchtlingskonvention gewähre zwar nicht explizit ein Recht auf Anwesenheit. Die garantierten Rechte setzten jedoch die Anwesenheit voraus. Das Anwesenheitsrecht sei ein untrennbarer Teil des Schutzes vor Verfolgung. So würde denn praxisgemäss im Falle eines Asylausschlussgrundes eine vorläufige Aufnahme gewährt. Würde dieses Anwesenheitsrecht für anerkannte Flüchtlinge ausserhalb der Schweiz nicht gelten, stellte dies eine nicht zu rechtfertigende Diskriminierung gegenüber den in der Schweiz anwesenden anerkannten Flüchtlingen dar. Wenn aber ein Anwesenheitsrecht bestehe, müsse dieses mit der Einreisebewilligung konkretisiert werden ([...]).</w:t>
      </w:r>
    </w:p>
    <w:p>
      <w:r>
        <w:rPr>
          <w:b/>
        </w:rPr>
        <w:t>E. 5.6.1</w:t>
      </w:r>
    </w:p>
    <w:p>
      <w:r>
        <w:t>Die rechtstheoretischen Ausführungen in der Beschwerde im Zusammenhang mit dem in Art. 49 AsylG statuierten Grundsatz, wonach Asyl Personen gewährt wird, wenn sie die Flüchtlingseigenschaft besitzen und kein Asylausschlussgrund vorliegt, treffen grundsätzlich zu. Indes scheinen die Beschwerdeführenden zu verkennen, dass zum einen das Asylverfahren aus dem Ausland ein Verfahren sui generis ist: So unterscheiden sich In- und Auslandverfahren insbesondere in formeller Hinsicht, wird doch im Auslandverfahren der Sachverhalt anders erstellt (vgl. BVGE 2012/3 E. 2.5 S. 21 f.), wobei daran nichts ändert, dass es in beiden Verfahren Übereinstimmungen bezüglich Prüfungsgegenstand jedenfalls dann gibt, wenn sich - wie vorliegend - die Frage der asylrechtlichen Relevanz der geltend gemachten Nachteile stellt; darüber hinaus verfügen die Asylbehörden im Rahmen des Auslandverfahrens über einen weiten Ermessensspielraum, stellt sich doch im Rahmen des Auslandverfahrens selbst bei bestehender Schutzbedürftigkeit ausserdem die Frage, ob es aufgrund der gesamten Umstände geboten erscheint, dass es die Schweiz ist, die den notwendigen Schutz gewährt (vgl. a.a.O.). Zum andern unterscheidet das Schweizer Recht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jüngsten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und zur Publikation vorgesehenes Urteil des Bundesverwaltungsgerichts [...]).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 und dementsprechend ergibt sich in diesen Konstellationen auch keine Verpflichtung der Schweiz.</w:t>
      </w:r>
    </w:p>
    <w:p>
      <w:r>
        <w:rPr>
          <w:b/>
        </w:rPr>
        <w:t>E. 5.6.2</w:t>
      </w:r>
    </w:p>
    <w:p>
      <w:r>
        <w:t>Nachdem die Vorinstanz implizit von der Schutzbedürftigkeit der Beschwerdeführenden ausgegangen ist, ist nachfolgend zu prüfen, ob es aufgrund der gesamten Umstände geboten erscheint, dass es die Schweiz ist, die den notwendigen Schutz gewährt. Die Überprüfung der Akten unter diesem Blickwinkel ergibt, dass sich die Erwägungen in der angefochtenen Verfügung (vgl. E. 5.4) als zutreffend erweisen und den Beschwerdeführenden tatsächlich zugemutet werden kann, sich weiterhin in Äthiopien aufzuhalten. Daran vermag nichts zu ändern, dass die in der angefochtenen Verfügung zitierten Urteile des Bundesverwaltungsgerichts bezüglich der Situation von Flüchtlingen in Äthiopien, soweit erkennbar, nicht diesen Staat, sondern den Sudan betreffen, zumal die erwähnten Ausführungen rein grundsätzlicher Natur sind. Sodann erweist sich auch der weitere Einwand in der Beschwerde, wonach der erst vor (...) volljährig gewordene Beschwerdeführer (1) in Berücksichtigung seines Alters seine um zwei Jahre jüngere, minderjährige Schwester (2) nicht ohne Weiteres beschützen könnte, zumal in einem Flüchtlingslager zahlreiche Gefahren, nicht zuletzt Übergriffe durch J._______, drohten, als unbegründet. So haben beide Beschwerdeführende ihren Heimatstaat im (...) unbegleitet als minderjährige Personen in Richtung Äthiopien verlassen, mithin zu einem Zeitpunkt, als der Beschwerdeführer selbst noch mehr als (...) vor der Volljährigkeit stand. Trotz eigener Minderjährigkeit und schwieriger Lebensumstände im Exil war er stets in der Lage, dort seiner minderjährigen Schwester den erforderlichen Schutz zu gewähren. Daran dürfte auch ein allfälliger Wechsel in ein Flüchtlingslager nichts ändern beziehungsweise wäre die Beschwerdeführerin dort unter den gegebenen Umständen nicht mehr als andere Flüchtlinge gefährdet. Schliesslich ist entgegen dem diesbezüglichen Einwand in der Beschwerde trotz der Anwesenheit der D._______. der Beschwerdeführenden in der Schweiz, mit welcher sie vor deren Flucht aus dem Heimatstaat zusammengelebt hätten, in Übereinstimmung mit der Vorinstanz nicht von einer überwiegenden Beziehungsnähe zur Schweiz auszugehen. Nach dem Gesagten führt die Abwägung der Gesamtumstände im Sinne von Art. 52 Abs. 2 AsylG nicht dazu, dass es gerade die Schweiz ist, die den erforderlichen Schutz gewähren soll.</w:t>
      </w:r>
    </w:p>
    <w:p>
      <w:r>
        <w:rPr>
          <w:b/>
        </w:rPr>
        <w:t>E. 5.7</w:t>
      </w:r>
    </w:p>
    <w:p>
      <w:r>
        <w:t>Zusammenfassend ist festzustellen, dass es den Beschwerdeführenden nicht gelungen ist, eine aktuelle Verfolgung im Sinne von Art. 3 AsylG darzulegen. Es erübrigt sich, auf die weiteren Vorbringen in der Beschwerde einzugehen, da diese keine neuen Begründungselemente enthalten, welche geeignet wären, die Einschätzung des BFM entscheidend zu relativieren. Das BFM hat demnach den Beschwerdeführenden zu Recht die Einreise in die Schweiz verweigert und die Asylgesuche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diesbezügliche Gesuch gegenstandslos geworden. Dasselbe gilt aufgrund des direkten Entscheids für das Gesuch um Verzicht auf die Erhebung eines Kostenvorschusses, weshalb über diese beiden Gesuche nicht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