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D-2169/2010 vom 25. Juni 2010</w:t>
      </w:r>
    </w:p>
    <w:p>
      <w:r>
        <w:t>Bundesverwaltungsgericht, 2010-06-25, DE</w:t>
      </w:r>
    </w:p>
    <w:p>
      <w:r>
        <w:rPr>
          <w:b/>
        </w:rPr>
        <w:t xml:space="preserve">Quelle: </w:t>
      </w:r>
      <w:r>
        <w:t>https://mcp.opencaselaw.ch/entscheid/bvger_D-2169_2010</w:t>
      </w:r>
    </w:p>
    <w:p>
      <w:r>
        <w:t>FR: TAF D-2169/2010 du 25 juin 2010</w:t>
      </w:r>
    </w:p>
    <w:p>
      <w:r>
        <w:t>IT: TAF D-2169/2010 del 25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(Art. 70 Abs. 1 der Bundesverfassung der Schweizerischen Eidgenossenschaft vom 18. April 1999 [BV, SR 101]). Auf die Ansetzung einer Frist zur Beschwerdeverbesserung kann indessen verzichtet werden, da den in Englisch verfassten Rechtsmitteleingaben genügend klare, sinngemässe Rechtsbegehren und deren Begründungen zu entnehmen sind; mithin kann ohne weiteres darüber befunden werden.</w:t>
      </w:r>
    </w:p>
    <w:p>
      <w:r>
        <w:rPr>
          <w:b/>
        </w:rPr>
        <w:t>E. 1.4</w:t>
      </w:r>
    </w:p>
    <w:p>
      <w:r>
        <w:t>Die Beschwerde ist - abgesehen vom sprachlichen Mangel -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In formeller Hinsicht ist zunächst festzuhalten, dass gemäss Art. 19 Abs. 1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wurden diesen gesetzlichen Bestimmungen durch die Einholung detaillierter Informationen durch die schweizerische Botschaft, die Befragung der Beschwerdeführerin sowie den entsprechenden Bericht der schweizerischen Vertretung praxisgemäss Genüge getan (vgl. Entscheide des Schweizerischen Bundesverwaltungsgerichts [BVGE] 2007/30).</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Zur Begründung ihres Entscheides führte die Vorinstanz im Wesentlichen aus, Vorbringen seien dann unglaubhaft, wenn sie in wesentlichen Punkten der allgemeinen Erfahrung oder der Logik des Handelns widersprächen. Die Beschwerdeführerin mache geltend, ihr Ehemann sei während zwölf Jahren bei der LTTE - zuletzt als Gruppenführer - tätig gewesen, er solle aber bereits zwei Tage nach seiner Verhaftung durch die Polizei in (...) wieder freigelassen worden sein. Es könne davon ausgegangen werden, dass die srilankischen Sicherheitsbehörden in Erfahrung gebracht hätten, wenn jemand so lange Mitglied bei der LTTE gewesen wäre. Vor diesem Hintergrund widerspreche das geschilderte Vorgehen der srilankischen Behörden deren ständiger Praxis und der allgemeinen Erfahrung, dass ein höheres Mitglied der LTTE nach so kurzer Zeit von der Polizei wieder freigelassen werde. Weiter mache die Beschwerdeführerin geltend, ihr Ehemann habe sich nach seiner Desertion von der LTTE unbehelligt in C._______ aufhalten und im Jahr 2007 offiziell eine Ehe eingehen können. Auch dieses Vorbringen widerspreche der allgemeinen Erfahrung. Wenn ihr Ehemann tatsächlich ein Gruppenführer der LTTE gewesen wäre, wäre dies nicht möglich gewesen. Zu diesem Zeitpunkt sei C._______ nämlich von den LTTE-Zellen infiltriert gewesen und ihr Ehemann wäre zweifellos für seine Desertion zur Rechenschaft gezogen worden. Deshalb sei das von der Beschwerdeführerin geltend gemachte politische Profil ihres Ehemannes unglaubhaft. Somit bestünden auch erhebliche Zweifel an der Glaubhaftigkeit ihrer vorgebrachten Verfolgungssituation insgesamt, zumal diese ausschliesslich auf die angeblichen politischen Tätigkeiten ihres Ehemannes zurückzuführen sei.</w:t>
      </w:r>
    </w:p>
    <w:p>
      <w:r>
        <w:rPr>
          <w:b/>
        </w:rPr>
        <w:t>E. 6.2</w:t>
      </w:r>
    </w:p>
    <w:p>
      <w:r>
        <w:t>Überdies seien Vorbringen dann nicht hinreichend begründet, wenn sie in wesentlichen Punkten zu wenig konkret, detailliert und differenziert dargelegt würden und somit den Eindruck vermittelten, dass die Beschwerdeführerin das Geschilderte nicht selbst erlebt habe. Sie habe geltend gemacht, ihr Ehemann sei während längerer Zeit Mitglied und zuletzt Gruppenführer der LTTE gewesen. Anlässlich der Anhörung in Colombo vom 12. Oktober 2009 habe die Beschwerdeführerin aber kaum Angaben zu dessen Tätigkeit machen können. So habe sie beispielsweise nicht einmal seinen angeblichen Kampfnamen gekannt. Da sie diese Vorbringen in wesentlichen Punkten zu wenig konkret und detailliert habe darzulegen vermocht, seien diese nicht hinreichend begründet. Dies erhärte die bereits geäusserten Zweifel an der Glaubhaftigkeit ihrer Vorbringen.</w:t>
      </w:r>
    </w:p>
    <w:p>
      <w:r>
        <w:rPr>
          <w:b/>
        </w:rPr>
        <w:t>E. 6.3</w:t>
      </w:r>
    </w:p>
    <w:p>
      <w:r>
        <w:t>Somit erübrige es sich, auf zahlreiche weitere unglaubhafte Elemente in der Schilderung der Asylvorbringen der Beschwerdeführerin näher einzugehen. Ihre Vorbringen hielten demnach in ihrer Gesamtheit den Anforderungen an die Glaubhaftigkeit nach Art. 7 AsylG nicht stand. An dieser Einschätzung vermöchten auch die von ihr eingereichten Dokumente nichts zu ändern. Zusammenfassend sei festzustellen, dass die Beschwerdeführerin nicht schutzbedürftig im Sinne des Asylgesetzes (Art. 3 AsylG) sei. Daher sei das Asylgesuch abzulehnen und die Einreise in die Schweiz nicht zu bewilligen.</w:t>
      </w:r>
    </w:p>
    <w:p>
      <w:r>
        <w:rPr>
          <w:b/>
        </w:rPr>
        <w:t>E. 7.1</w:t>
      </w:r>
    </w:p>
    <w:p>
      <w:r>
        <w:t>Die Beschwerdeführerin setzt sich in ihrer Beschwerde vom 23. März 2010 und dem nachgereichten Schreiben vom 2. Juni 2010 nicht explizit mit den ihr von der Vorinstanz vorgehaltenen Unglaubhaftigkeitselementen auseinander, sondern verweist pauschal auf ihre schwierigen Lebensbedingungen in Sri Lanka. Überall wo sie hingehe, werde sie von Sicherheitskräften und ihr unbekannten Personen verfolgt. Sie habe auch finanzielle Probleme und lebe zurzeit in H._______ (I._______).</w:t>
      </w:r>
    </w:p>
    <w:p>
      <w:r>
        <w:rPr>
          <w:b/>
        </w:rPr>
        <w:t>E. 7.2</w:t>
      </w:r>
    </w:p>
    <w:p>
      <w:r>
        <w:t>Nach Prüfung der Akten gelangt das Bundesverwaltungsgericht vorab zum Schluss, dass das BFM den rechtserheblichen Sachverhalt in ausreichender Weise abgeklärt hat, um einen Entscheid über die Frage einer Gefährdung der Beschwerdeführenden fällen zu können. Darüber hinaus sind die vom BFM in der angefochtenen Verfügung festgestellten Widersprüche zu bestätigen. Für die Begründung kann in casu vollumfänglich auf die vorinstanzliche Verfügung verwiesen werden. Sodann ist festzustellen, dass die Vorbringen der Beschwerdeführerin bezüglich der Verfolgung durch Unbekannte sehr vage ausgefallen sind und Realkennzeichen vermissen lassen, was die bereits bestehenden Zweifel an der Glaubhaftigkeit der Vorbringen weiter verstärkt. Auch die beim BFM und beim Bundesverwaltungsgericht in Kopie eingereichten Beweismittel (u.a. Auszüge aus dem "register of birth", ein "certificate of marriage", ein Referenzschreiben eines Kommunalpolitikers) sind nicht geeignet, eine asylrelevante Verfolgung glaubhaft zu machen.</w:t>
      </w:r>
    </w:p>
    <w:p>
      <w:r>
        <w:rPr>
          <w:b/>
        </w:rPr>
        <w:t>E. 7.3</w:t>
      </w:r>
    </w:p>
    <w:p>
      <w:r>
        <w:t>Gestützt auf die vorstehenden Erwägungen ist zusammenfassend festzustellen, dass die Beschwerdeführerin keine aktuelle und unmittelbare Gefährdung im Sinne von Art. 3 AsylG darzulegen vermochte. Mithin erhellt, dass das BFM demnach der Beschwerdeführerin die Einreise in die Schweiz zu Recht verweigert beziehungsweise das Asylgesuch abgelehnt hat. Zwar erkennt das Bundesverwaltungsgericht, dass die Situation der Beschwerdeführerin aufgrund der derzeitigen Lage in Sri Lanka generell als schwierig und belastend zu bezeichnen ist. Dieser Umstand betrifft indessen letztlich die Mehrheit der Zivilbevölkerung in Sri Lanka, weshalb die vorinstanzliche Verfügung angesichts der Praxis im Bereich der Auslandverfahren, bei denen sich die Frage von allfälligen Wegweisungsvollzugshindernissen gerade nicht stellt, zu bestätigen ist. Zusammenfassend ist festzustellen, dass die Schutzbedürftigkeit der Beschwerdeführenden im Sinne von Art. 20 i.V.m. Art. 3 AsylG als nicht gegeben zu qualifizieren ist und auch keine anderen Gründe die Erteilung einer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an sich der Beschwerdeführerin aufzuerlegen (Art. 63 Abs. 1VwVG);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