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D-2167/2016 vom 14. April 2016</w:t>
      </w:r>
    </w:p>
    <w:p>
      <w:r>
        <w:t>Bundesverwaltungsgericht, 2016-04-14, DE</w:t>
      </w:r>
    </w:p>
    <w:p>
      <w:r>
        <w:rPr>
          <w:b/>
        </w:rPr>
        <w:t xml:space="preserve">Quelle: </w:t>
      </w:r>
      <w:r>
        <w:t>https://mcp.opencaselaw.ch/entscheid/bvger_D-2167_2016</w:t>
      </w:r>
    </w:p>
    <w:p>
      <w:r>
        <w:t>FR: TAF D-2167/2016 du 14 avril 2016</w:t>
      </w:r>
    </w:p>
    <w:p>
      <w:r>
        <w:t>IT: TAF D-2167/2016 del 14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 erweist sich als offensichtlich unbegründet und ist im Verfahren einzelrichterlicher Zuständigkeit mit Zustimmung eines zweiten Richters beziehungsweise einer zweiten Richterin zu entscheiden (Art. 111 Bst. e AsylG). Sie ist nur summarisch zu begründen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a Dublin-III-VO ist der Mitgliedstaat verpflichtet, einen Antragsteller, der in einem anderen Mitgliedstaat einen Antrag gestellt hat oder der sich im Hoheitsgebiet eines anderen Mitgliedstaats ohne Aufenthaltstitel aufhält, nach Massgabe der Art. 21, 22 und 29 aufzunehmen.</w:t>
      </w:r>
    </w:p>
    <w:p>
      <w:r>
        <w:rPr>
          <w:b/>
        </w:rPr>
        <w:t>E. 3.2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vorliegenden Akten ist zu entnehmen, dass sich der Beschwerdeführer vor seiner Einreise in die Schweiz in Kroatien aufgehalten hatte. Anlässlich seiner Befragung zur Person im Empfangs- und Verfahrenszentrum (EVZ) B._______ vom 19. Oktober 2015 führte er aus, via andere Staaten nach Kroatien und Österreich sodann in die Schweiz gelangt zu sein. Das SEM ersuchte die kroatischen Behörden am 6. Januar 2016 um Aufnahme des Beschwerdeführers gestützt auf Art. 21 Dublin-III-VO. Die kroatischen Behörden liessen das Übernahmeersuchen innert der in Art. 22 Abs. 1 Dublin-III-VO vorgesehenen Frist unbeantwortet, womit sie ihre Zuständigkeit implizit anerkannten (Art. 22 Abs. 7 Dublin-III-VO). Die grundsätzliche Zuständigkeit Kroatiens ist somit gegeben.</w:t>
      </w:r>
    </w:p>
    <w:p>
      <w:r>
        <w:rPr>
          <w:b/>
        </w:rPr>
        <w:t>E. 4.2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 4 EU-Grundrechtecharta mit sich bringen würden.</w:t>
      </w:r>
    </w:p>
    <w:p>
      <w:r>
        <w:rPr>
          <w:b/>
        </w:rPr>
        <w:t>E. 4.2.1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In einem im Rahmen des "Asylum Information Database"-Projektes (AIDA) erstellten Länderbericht des Europäischen Flüchtlingsrates ECRE vom Dezember 2015 wird die Überlastung des kroatischen Asylsystems durch die geographische Lage Kroatiens an der "Balkan-Route" und die grosse Anzahl von Flüchtlingen auf der Durchreise geschildert. Dies gilt jedoch in erster Linie für die asylsuchenden Personen, welche Kroatien als Transitstaat auf ihrem weiteren Weg in westeuropäische Staaten betrachten. Der Bericht hält auch fest, dass Asylsuchende, welche im Rahmen des Dublin-Verfahrens nach Kroatien überstellt würden, grundsätzlich ohne Probleme Zugang zum kroatischen Asylverfahren erhalten. Personen, die Kroatien während laufenden Asylverfahren verlassen hätten und deren Verfahren ausgesetzt worden seien, wären gehalten, einen Folge-Asylantrag zu stellen (vgl. Aida Country Report: Croatia, Update vom Dezember 2015, First instance procedure, Ziff. 3.2, S. 27, &lt;www.asylumineurope.org/sites/default/files/report-download/aida_hr_update.ii_.pdf , zuletzt besucht am 7. April 2016). Der Beschwerdeführer wollte in Kroatien nach eigenen Angaben nicht Asyl beantragen, sondern schnell weiterreisen. Er hat sich bisher nicht darum bemüht, Zugang zum kroatischen Asylverfahren zu erlangen. Während das Gericht die schwierigen Umstände in Kroatien nicht in Abrede stellen will, sind vorliegend keine Hinweise vorhanden, dass er in Kroatien aufgrund systemischer Schwachstellen kein faires Asylverfahren erhalten würde. Aus dem Umstand, dass Kroatien seine Zuständigkeit implizit infolge Verfristung akzeptierte, kann ebenso wenig auf systemische Schwachstellen geschlossen werden. Die in der Beschwerde geäusserte, allgemeine Kritik zum Dublin-System und dem Abkommen zwischen der EU und der Türkei ist für das Gericht vorliegend - wenn auch nachvollziehbar - unerheblich und wäre bei den diesbezüglich zuständigen politischen Institutionen geltend zu machen.</w:t>
      </w:r>
    </w:p>
    <w:p>
      <w:r>
        <w:rPr>
          <w:b/>
        </w:rPr>
        <w:t>E. 4.2.3</w:t>
      </w:r>
    </w:p>
    <w:p>
      <w:r>
        <w:t>Es sind vorliegend keine wesentlichen Gründe ersichtlich, die auf systemische Schwachstellen im kroatischen Asylsystem oder den Aufnahmebedingungen hindeuten würden. Die Anwendung von Art. 3 Abs. 2 Dublin-III-VO ist deshalb in dieser Hinsicht nicht gerechtfertigt.</w:t>
      </w:r>
    </w:p>
    <w:p>
      <w:r>
        <w:rPr>
          <w:b/>
        </w:rPr>
        <w:t>E. 4.3</w:t>
      </w:r>
    </w:p>
    <w:p>
      <w:r>
        <w:t>Der Beschwerdeführer fordert mit seinen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auch dann behandeln kann, wenn dafür gemäss Dublin-III-VO ein anderer Staat zuständig wäre.</w:t>
      </w:r>
    </w:p>
    <w:p>
      <w:r>
        <w:rPr>
          <w:b/>
        </w:rPr>
        <w:t>E. 4.3.1</w:t>
      </w:r>
    </w:p>
    <w:p>
      <w:r>
        <w:t>Der Beschwerdeführer führt diesbezüglich im Wesentlichen aus, er habe Angst, in Kroatien kein gerechtes Asylverfahren durchlaufen zu können und in seinen Herkunfts- oder Heimatstaat abgeschoben zu werden. Er habe stets in der Schweiz um Asyl nachsuchen wollen und habe Angst, in Kroatien wie ein Krimineller behandelt zu werden.</w:t>
      </w:r>
    </w:p>
    <w:p>
      <w:r>
        <w:rPr>
          <w:b/>
        </w:rPr>
        <w:t>E. 4.3.2</w:t>
      </w:r>
    </w:p>
    <w:p>
      <w:r>
        <w:t>Zunächst ist festzuhalten, dass die Dublin-III-VO den Schutzsuchenden kein Recht einräumt, den ihren Antrag prüfenden Staat selber auszuwählen (vgl. auch BVGE 2010/45 E. 8.3). Der Beschwerdeführer hat sodann kein konkretes und ernsthaftes Risiko dargetan, die kroatischen Behörden würden sich weigern, ihn aufzunehmen und seinen Antrag auf internationalen Schutz unter Einhaltung der Regeln der Verfahrensrichtlinie zu prüfen. Den Akten sind denn auch - entgegen den Befürchtungen des Beschwerdeführers -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 den angeblich vom ehemaligen kroatischen Premierminister gemachten Äusserungen, sein Land schaffe es nicht mehr, die Tausenden von Flüchtlingen zu registrieren, lässt sich in keiner Weise ableiten, Kroatien werde im Fall des Beschwerdeführers den Grundsatz des Non-Refoulement missachten. Ausserdem hat der Beschwerdeführer nicht dargetan, die ihn bei einer Rückführung erwartenden Bedingungen in Kroatien seien derart schlecht, dass sie zu einer Verletzung von Art. 4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4.3.3</w:t>
      </w:r>
    </w:p>
    <w:p>
      <w:r>
        <w:t>Nach dem Gesagten besteht kein Grund für eine Anwendung der Ermessenklauseln von Art. 17 Abs. 1 Dublin-III-VO.</w:t>
      </w:r>
    </w:p>
    <w:p>
      <w:r>
        <w:rPr>
          <w:b/>
        </w:rPr>
        <w:t>E. 4.4</w:t>
      </w:r>
    </w:p>
    <w:p>
      <w:r>
        <w:t>Den Akten sind schliesslich auch keine Hinweise auf eine gesetzeswidrige Ermessensausübung (vgl. Art. 106 Abs. 1 Bst. a AsylG) durch die Vor-instanz zu entnehmen. Da die Kognition des Bundesverwaltungsgerichts im Hinblick auf die Angemessenheit von Dublin-Entscheiden eingeschränkt ist, insbesondere was das Vorliegen von humanitären Gründen im Sinne von Art. 29a AsylV 1 betrifft, muss sich das Gericht im vorliegenden Einzelfall einer Wertung enthalten (vgl. BVGE 2015/9).</w:t>
      </w:r>
    </w:p>
    <w:p>
      <w:r>
        <w:rPr>
          <w:b/>
        </w:rPr>
        <w:t>E. 4.5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5</w:t>
      </w:r>
    </w:p>
    <w:p>
      <w:r>
        <w:t>Zusammenfassend verletzt die angefochtenen Verfügung kein Bundesrecht und ist auch sonst nicht zu beanstanden (Art. 106 AsylG). Die Beschwerde ist abzuweisen.</w:t>
      </w:r>
    </w:p>
    <w:p>
      <w:r>
        <w:rPr>
          <w:b/>
        </w:rPr>
        <w:t>E. 6</w:t>
      </w:r>
    </w:p>
    <w:p>
      <w:r>
        <w:t>Das Beschwerdeverfahren ist mit vorliegendem Urteil abgeschlossen, weshalb sich der Antrag auf Gewährung der aufschiebenden Wirkung als gegenstandslos erweist.</w:t>
      </w:r>
    </w:p>
    <w:p>
      <w:r>
        <w:rPr>
          <w:b/>
        </w:rPr>
        <w:t>E. 7.1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